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3F" w:rsidRPr="0030170A" w:rsidRDefault="00437CAE" w:rsidP="00414E98">
      <w:pPr>
        <w:jc w:val="both"/>
        <w:rPr>
          <w:b/>
          <w:u w:val="single"/>
        </w:rPr>
      </w:pPr>
      <w:r w:rsidRPr="0030170A">
        <w:rPr>
          <w:b/>
          <w:u w:val="single"/>
        </w:rPr>
        <w:t>Nouveau à Tout Autre Chose ? Voici un aperçu de notre fonctionnement !</w:t>
      </w:r>
    </w:p>
    <w:p w:rsidR="00437CAE" w:rsidRDefault="00437CAE" w:rsidP="00414E98">
      <w:pPr>
        <w:jc w:val="both"/>
      </w:pPr>
      <w:r w:rsidRPr="00437CAE">
        <w:t>Tout Autre Chose est un mouvement jeune, encore en cours de structura</w:t>
      </w:r>
      <w:r>
        <w:t>tion. Son organisation évolue donc en permanence en fonction de ce qui marche et ce qui marche moins, et des nouvelles propositions</w:t>
      </w:r>
      <w:r w:rsidRPr="00437CAE">
        <w:t xml:space="preserve">. </w:t>
      </w:r>
      <w:r>
        <w:t>Tout Autre Chose est composé de deux niveaux : le niveau national (le bureau, le comité de coordination, les groupes nationaux) et le niveau local.</w:t>
      </w:r>
    </w:p>
    <w:p w:rsidR="00437CAE" w:rsidRPr="000B1938" w:rsidRDefault="000B1938" w:rsidP="00414E98">
      <w:pPr>
        <w:ind w:firstLine="708"/>
        <w:jc w:val="both"/>
        <w:rPr>
          <w:b/>
          <w:i/>
        </w:rPr>
      </w:pPr>
      <w:r w:rsidRPr="000B1938">
        <w:rPr>
          <w:b/>
          <w:i/>
        </w:rPr>
        <w:t>Le niveau local</w:t>
      </w:r>
      <w:r>
        <w:rPr>
          <w:b/>
          <w:i/>
        </w:rPr>
        <w:t> :</w:t>
      </w:r>
    </w:p>
    <w:p w:rsidR="000B1938" w:rsidRDefault="00437CAE" w:rsidP="00414E98">
      <w:pPr>
        <w:jc w:val="both"/>
        <w:rPr>
          <w:i/>
        </w:rPr>
      </w:pPr>
      <w:r>
        <w:t>Les locales organisent des événements et des moments d’échanges locaux</w:t>
      </w:r>
      <w:r w:rsidR="000B1938">
        <w:t>, ou rejoignent des actions nationales (contre le CETA par exemple)</w:t>
      </w:r>
      <w:r>
        <w:t>. Elles portent Tout Autre Chose au niveau le plus proche des citoyens. Elles ont une organisation propre à chacune</w:t>
      </w:r>
      <w:r w:rsidR="000B1938">
        <w:t xml:space="preserve"> et se réunissent régulièrement</w:t>
      </w:r>
      <w:r>
        <w:t>.</w:t>
      </w:r>
      <w:r w:rsidR="000B1938">
        <w:t xml:space="preserve"> Elles envoient des délégués au comité de coordination et au bureau.</w:t>
      </w:r>
      <w:r>
        <w:t xml:space="preserve"> </w:t>
      </w:r>
      <w:r w:rsidR="000B1938">
        <w:t xml:space="preserve">Dans les endroits où il n’y a pas encore, sentez-vous libres d’en lancer une ! </w:t>
      </w:r>
      <w:r w:rsidR="000B1938" w:rsidRPr="000B1938">
        <w:rPr>
          <w:b/>
        </w:rPr>
        <w:t>Les locales existantes</w:t>
      </w:r>
      <w:r w:rsidR="000B1938">
        <w:t xml:space="preserve"> : </w:t>
      </w:r>
      <w:r w:rsidR="000B1938" w:rsidRPr="000B1938">
        <w:rPr>
          <w:i/>
        </w:rPr>
        <w:t xml:space="preserve">Bruxelles, </w:t>
      </w:r>
      <w:r w:rsidR="000B1938" w:rsidRPr="000B1938">
        <w:rPr>
          <w:i/>
        </w:rPr>
        <w:t>Saint-Gilles</w:t>
      </w:r>
      <w:r w:rsidR="000B1938" w:rsidRPr="000B1938">
        <w:rPr>
          <w:i/>
        </w:rPr>
        <w:t xml:space="preserve">, </w:t>
      </w:r>
      <w:proofErr w:type="spellStart"/>
      <w:r w:rsidR="000B1938" w:rsidRPr="000B1938">
        <w:rPr>
          <w:i/>
        </w:rPr>
        <w:t>Watermael-Boisfort</w:t>
      </w:r>
      <w:proofErr w:type="spellEnd"/>
      <w:r w:rsidR="000B1938" w:rsidRPr="000B1938">
        <w:rPr>
          <w:i/>
        </w:rPr>
        <w:t xml:space="preserve">, </w:t>
      </w:r>
      <w:r w:rsidR="000B1938" w:rsidRPr="000B1938">
        <w:rPr>
          <w:i/>
        </w:rPr>
        <w:t>Forest</w:t>
      </w:r>
      <w:r w:rsidR="000B1938" w:rsidRPr="000B1938">
        <w:rPr>
          <w:i/>
        </w:rPr>
        <w:t xml:space="preserve">, </w:t>
      </w:r>
      <w:r w:rsidR="000B1938" w:rsidRPr="000B1938">
        <w:rPr>
          <w:i/>
        </w:rPr>
        <w:t>Tram 19</w:t>
      </w:r>
      <w:r w:rsidR="000B1938" w:rsidRPr="000B1938">
        <w:rPr>
          <w:i/>
        </w:rPr>
        <w:t xml:space="preserve">, </w:t>
      </w:r>
      <w:r w:rsidR="000B1938" w:rsidRPr="000B1938">
        <w:rPr>
          <w:i/>
        </w:rPr>
        <w:t>Schaerbeek</w:t>
      </w:r>
      <w:r w:rsidR="000B1938" w:rsidRPr="000B1938">
        <w:rPr>
          <w:i/>
        </w:rPr>
        <w:t xml:space="preserve">, </w:t>
      </w:r>
      <w:r w:rsidR="000B1938" w:rsidRPr="000B1938">
        <w:rPr>
          <w:i/>
        </w:rPr>
        <w:t>Région du centre</w:t>
      </w:r>
      <w:r w:rsidR="000B1938" w:rsidRPr="000B1938">
        <w:rPr>
          <w:i/>
        </w:rPr>
        <w:t xml:space="preserve">, </w:t>
      </w:r>
      <w:r w:rsidR="000B1938" w:rsidRPr="000B1938">
        <w:rPr>
          <w:i/>
        </w:rPr>
        <w:t>Charleroi</w:t>
      </w:r>
      <w:r w:rsidR="000B1938" w:rsidRPr="000B1938">
        <w:rPr>
          <w:i/>
        </w:rPr>
        <w:t xml:space="preserve">, </w:t>
      </w:r>
      <w:r w:rsidR="000B1938" w:rsidRPr="000B1938">
        <w:rPr>
          <w:i/>
        </w:rPr>
        <w:t>Liège</w:t>
      </w:r>
      <w:r w:rsidR="000B1938" w:rsidRPr="000B1938">
        <w:rPr>
          <w:i/>
        </w:rPr>
        <w:t xml:space="preserve">, Louvain-la-Neuve, </w:t>
      </w:r>
      <w:r w:rsidR="000B1938" w:rsidRPr="000B1938">
        <w:rPr>
          <w:i/>
        </w:rPr>
        <w:t>Namur</w:t>
      </w:r>
      <w:r w:rsidR="000B1938" w:rsidRPr="000B1938">
        <w:rPr>
          <w:i/>
        </w:rPr>
        <w:t>, Ath</w:t>
      </w:r>
      <w:r w:rsidR="000B1938">
        <w:rPr>
          <w:i/>
        </w:rPr>
        <w:t>, Wallonie-Picarde.</w:t>
      </w:r>
    </w:p>
    <w:p w:rsidR="000B1938" w:rsidRPr="000B1938" w:rsidRDefault="000B1938" w:rsidP="00414E98">
      <w:pPr>
        <w:ind w:firstLine="708"/>
        <w:jc w:val="both"/>
        <w:rPr>
          <w:b/>
          <w:i/>
        </w:rPr>
      </w:pPr>
      <w:r w:rsidRPr="000B1938">
        <w:rPr>
          <w:b/>
          <w:i/>
        </w:rPr>
        <w:t>Le niveau national</w:t>
      </w:r>
      <w:r>
        <w:rPr>
          <w:b/>
          <w:i/>
        </w:rPr>
        <w:t> :</w:t>
      </w:r>
    </w:p>
    <w:p w:rsidR="00437CAE" w:rsidRPr="00437CAE" w:rsidRDefault="000B1938" w:rsidP="00414E98">
      <w:pPr>
        <w:tabs>
          <w:tab w:val="num" w:pos="720"/>
        </w:tabs>
        <w:jc w:val="both"/>
      </w:pPr>
      <w:r w:rsidRPr="000B1938">
        <w:t>Deux types de groupes existent au niveau national.</w:t>
      </w:r>
      <w:r>
        <w:rPr>
          <w:i/>
        </w:rPr>
        <w:t xml:space="preserve"> </w:t>
      </w:r>
      <w:r>
        <w:t xml:space="preserve">Les </w:t>
      </w:r>
      <w:r w:rsidR="00437CAE" w:rsidRPr="00437CAE">
        <w:t>groupes de travail constitués autour d’une tâche</w:t>
      </w:r>
      <w:r>
        <w:t xml:space="preserve"> (par ex. </w:t>
      </w:r>
      <w:proofErr w:type="gramStart"/>
      <w:r>
        <w:t>la</w:t>
      </w:r>
      <w:proofErr w:type="gramEnd"/>
      <w:r>
        <w:t xml:space="preserve"> </w:t>
      </w:r>
      <w:proofErr w:type="spellStart"/>
      <w:r>
        <w:t>com</w:t>
      </w:r>
      <w:proofErr w:type="spellEnd"/>
      <w:r>
        <w:t xml:space="preserve">’) et </w:t>
      </w:r>
      <w:r w:rsidR="00437CAE" w:rsidRPr="00437CAE">
        <w:t>les groupes « alternatives » constitués autour d’un sujet de société</w:t>
      </w:r>
      <w:r w:rsidR="001F3CB5">
        <w:t>. Ils se réunissent dans les villes wallonnes ou à Bruxelles.</w:t>
      </w:r>
      <w:r w:rsidR="00414E98">
        <w:t xml:space="preserve"> Les voici</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1944"/>
        <w:gridCol w:w="1943"/>
        <w:gridCol w:w="2028"/>
        <w:gridCol w:w="1983"/>
        <w:gridCol w:w="1944"/>
        <w:gridCol w:w="1801"/>
        <w:gridCol w:w="1801"/>
      </w:tblGrid>
      <w:tr w:rsidR="00414E98" w:rsidTr="00414E98">
        <w:tc>
          <w:tcPr>
            <w:tcW w:w="1944"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hyperlink r:id="rId5" w:history="1">
              <w:proofErr w:type="gramStart"/>
              <w:r w:rsidRPr="00414E98">
                <w:rPr>
                  <w:rFonts w:asciiTheme="minorHAnsi" w:eastAsiaTheme="minorHAnsi" w:hAnsiTheme="minorHAnsi" w:cstheme="minorBidi"/>
                  <w:b/>
                  <w:sz w:val="22"/>
                  <w:szCs w:val="22"/>
                  <w:lang w:eastAsia="en-US"/>
                </w:rPr>
                <w:t>Tout</w:t>
              </w:r>
              <w:proofErr w:type="gramEnd"/>
              <w:r w:rsidRPr="00414E98">
                <w:rPr>
                  <w:rFonts w:asciiTheme="minorHAnsi" w:eastAsiaTheme="minorHAnsi" w:hAnsiTheme="minorHAnsi" w:cstheme="minorBidi"/>
                  <w:b/>
                  <w:sz w:val="22"/>
                  <w:szCs w:val="22"/>
                  <w:lang w:eastAsia="en-US"/>
                </w:rPr>
                <w:t xml:space="preserve"> autre école</w:t>
              </w:r>
            </w:hyperlink>
          </w:p>
        </w:tc>
        <w:tc>
          <w:tcPr>
            <w:tcW w:w="1944"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hyperlink r:id="rId6" w:history="1">
              <w:r w:rsidRPr="00414E98">
                <w:rPr>
                  <w:rFonts w:asciiTheme="minorHAnsi" w:eastAsiaTheme="minorHAnsi" w:hAnsiTheme="minorHAnsi" w:cstheme="minorBidi"/>
                  <w:b/>
                  <w:sz w:val="22"/>
                  <w:szCs w:val="22"/>
                  <w:lang w:eastAsia="en-US"/>
                </w:rPr>
                <w:t>Travail digne</w:t>
              </w:r>
            </w:hyperlink>
          </w:p>
        </w:tc>
        <w:tc>
          <w:tcPr>
            <w:tcW w:w="1943"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hyperlink r:id="rId7" w:history="1">
              <w:r w:rsidRPr="00414E98">
                <w:rPr>
                  <w:rFonts w:asciiTheme="minorHAnsi" w:eastAsiaTheme="minorHAnsi" w:hAnsiTheme="minorHAnsi" w:cstheme="minorBidi"/>
                  <w:b/>
                  <w:sz w:val="22"/>
                  <w:szCs w:val="22"/>
                  <w:lang w:eastAsia="en-US"/>
                </w:rPr>
                <w:t>Éco c’est logique</w:t>
              </w:r>
            </w:hyperlink>
          </w:p>
        </w:tc>
        <w:tc>
          <w:tcPr>
            <w:tcW w:w="2028"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hyperlink r:id="rId8" w:history="1">
              <w:proofErr w:type="gramStart"/>
              <w:r w:rsidRPr="00414E98">
                <w:rPr>
                  <w:rFonts w:asciiTheme="minorHAnsi" w:eastAsiaTheme="minorHAnsi" w:hAnsiTheme="minorHAnsi" w:cstheme="minorBidi"/>
                  <w:b/>
                  <w:sz w:val="22"/>
                  <w:szCs w:val="22"/>
                  <w:lang w:eastAsia="en-US"/>
                </w:rPr>
                <w:t>Tout</w:t>
              </w:r>
              <w:proofErr w:type="gramEnd"/>
              <w:r w:rsidRPr="00414E98">
                <w:rPr>
                  <w:rFonts w:asciiTheme="minorHAnsi" w:eastAsiaTheme="minorHAnsi" w:hAnsiTheme="minorHAnsi" w:cstheme="minorBidi"/>
                  <w:b/>
                  <w:sz w:val="22"/>
                  <w:szCs w:val="22"/>
                  <w:lang w:eastAsia="en-US"/>
                </w:rPr>
                <w:t xml:space="preserve"> autre information</w:t>
              </w:r>
            </w:hyperlink>
          </w:p>
        </w:tc>
        <w:tc>
          <w:tcPr>
            <w:tcW w:w="1983"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hyperlink r:id="rId9" w:history="1">
              <w:proofErr w:type="gramStart"/>
              <w:r w:rsidRPr="00414E98">
                <w:rPr>
                  <w:rFonts w:asciiTheme="minorHAnsi" w:eastAsiaTheme="minorHAnsi" w:hAnsiTheme="minorHAnsi" w:cstheme="minorBidi"/>
                  <w:b/>
                  <w:sz w:val="22"/>
                  <w:szCs w:val="22"/>
                  <w:lang w:eastAsia="en-US"/>
                </w:rPr>
                <w:t>Tout</w:t>
              </w:r>
              <w:proofErr w:type="gramEnd"/>
              <w:r w:rsidRPr="00414E98">
                <w:rPr>
                  <w:rFonts w:asciiTheme="minorHAnsi" w:eastAsiaTheme="minorHAnsi" w:hAnsiTheme="minorHAnsi" w:cstheme="minorBidi"/>
                  <w:b/>
                  <w:sz w:val="22"/>
                  <w:szCs w:val="22"/>
                  <w:lang w:eastAsia="en-US"/>
                </w:rPr>
                <w:t xml:space="preserve"> autre économie</w:t>
              </w:r>
            </w:hyperlink>
          </w:p>
        </w:tc>
        <w:tc>
          <w:tcPr>
            <w:tcW w:w="1944"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hyperlink r:id="rId10" w:history="1">
              <w:proofErr w:type="gramStart"/>
              <w:r w:rsidRPr="00414E98">
                <w:rPr>
                  <w:rFonts w:asciiTheme="minorHAnsi" w:eastAsiaTheme="minorHAnsi" w:hAnsiTheme="minorHAnsi" w:cstheme="minorBidi"/>
                  <w:b/>
                  <w:sz w:val="22"/>
                  <w:szCs w:val="22"/>
                  <w:lang w:eastAsia="en-US"/>
                </w:rPr>
                <w:t>Tout autre façon</w:t>
              </w:r>
            </w:hyperlink>
            <w:proofErr w:type="gramEnd"/>
            <w:r w:rsidRPr="00414E98">
              <w:rPr>
                <w:rFonts w:asciiTheme="minorHAnsi" w:eastAsiaTheme="minorHAnsi" w:hAnsiTheme="minorHAnsi" w:cstheme="minorBidi"/>
                <w:b/>
                <w:sz w:val="22"/>
                <w:szCs w:val="22"/>
                <w:lang w:eastAsia="en-US"/>
              </w:rPr>
              <w:t xml:space="preserve"> de vieillir</w:t>
            </w:r>
          </w:p>
        </w:tc>
        <w:tc>
          <w:tcPr>
            <w:tcW w:w="1801"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hyperlink r:id="rId11" w:history="1">
              <w:r w:rsidRPr="00414E98">
                <w:rPr>
                  <w:rFonts w:asciiTheme="minorHAnsi" w:eastAsiaTheme="minorHAnsi" w:hAnsiTheme="minorHAnsi" w:cstheme="minorBidi"/>
                  <w:b/>
                  <w:sz w:val="22"/>
                  <w:szCs w:val="22"/>
                  <w:lang w:eastAsia="en-US"/>
                </w:rPr>
                <w:t>Tout autre SNCB</w:t>
              </w:r>
            </w:hyperlink>
          </w:p>
        </w:tc>
        <w:tc>
          <w:tcPr>
            <w:tcW w:w="1801"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b/>
                <w:sz w:val="22"/>
                <w:szCs w:val="22"/>
                <w:lang w:eastAsia="en-US"/>
              </w:rPr>
            </w:pPr>
            <w:r w:rsidRPr="00414E98">
              <w:rPr>
                <w:rFonts w:asciiTheme="minorHAnsi" w:eastAsiaTheme="minorHAnsi" w:hAnsiTheme="minorHAnsi" w:cstheme="minorBidi"/>
                <w:b/>
                <w:sz w:val="22"/>
                <w:szCs w:val="22"/>
                <w:lang w:eastAsia="en-US"/>
              </w:rPr>
              <w:t>Tout Autre Démocratie</w:t>
            </w:r>
          </w:p>
        </w:tc>
      </w:tr>
      <w:tr w:rsidR="00414E98" w:rsidTr="00414E98">
        <w:tc>
          <w:tcPr>
            <w:tcW w:w="1944"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sidRPr="00414E98">
              <w:rPr>
                <w:rFonts w:asciiTheme="minorHAnsi" w:eastAsiaTheme="minorHAnsi" w:hAnsiTheme="minorHAnsi" w:cstheme="minorBidi"/>
                <w:sz w:val="22"/>
                <w:szCs w:val="22"/>
                <w:lang w:eastAsia="en-US"/>
              </w:rPr>
              <w:t>Organise la campagne de débats pour une tout autre école</w:t>
            </w:r>
            <w:r>
              <w:rPr>
                <w:rFonts w:asciiTheme="minorHAnsi" w:eastAsiaTheme="minorHAnsi" w:hAnsiTheme="minorHAnsi" w:cstheme="minorBidi"/>
                <w:sz w:val="22"/>
                <w:szCs w:val="22"/>
                <w:lang w:eastAsia="en-US"/>
              </w:rPr>
              <w:t>, émancipatrice et solidaire</w:t>
            </w:r>
            <w:r w:rsidRPr="00414E98">
              <w:rPr>
                <w:rFonts w:asciiTheme="minorHAnsi" w:eastAsiaTheme="minorHAnsi" w:hAnsiTheme="minorHAnsi" w:cstheme="minorBidi"/>
                <w:sz w:val="22"/>
                <w:szCs w:val="22"/>
                <w:lang w:eastAsia="en-US"/>
              </w:rPr>
              <w:t>.</w:t>
            </w:r>
          </w:p>
        </w:tc>
        <w:tc>
          <w:tcPr>
            <w:tcW w:w="1944"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sidRPr="00414E98">
              <w:rPr>
                <w:rFonts w:asciiTheme="minorHAnsi" w:eastAsiaTheme="minorHAnsi" w:hAnsiTheme="minorHAnsi" w:cstheme="minorBidi"/>
                <w:sz w:val="22"/>
                <w:szCs w:val="22"/>
                <w:lang w:eastAsia="en-US"/>
              </w:rPr>
              <w:t>Mène les actions et réflexions en lien avec le thème du travail digne (réduction du temps de travail,…).</w:t>
            </w:r>
          </w:p>
        </w:tc>
        <w:tc>
          <w:tcPr>
            <w:tcW w:w="1943"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sidRPr="00414E98">
              <w:rPr>
                <w:rFonts w:asciiTheme="minorHAnsi" w:eastAsiaTheme="minorHAnsi" w:hAnsiTheme="minorHAnsi" w:cstheme="minorBidi"/>
                <w:sz w:val="22"/>
                <w:szCs w:val="22"/>
                <w:lang w:eastAsia="en-US"/>
              </w:rPr>
              <w:t>Groupe en charge des actions et réflexions liées à l’écologie et l’environnement.</w:t>
            </w:r>
          </w:p>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p>
        </w:tc>
        <w:tc>
          <w:tcPr>
            <w:tcW w:w="2028"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Réfléchit</w:t>
            </w:r>
            <w:r w:rsidRPr="00414E98">
              <w:rPr>
                <w:rFonts w:asciiTheme="minorHAnsi" w:eastAsiaTheme="minorHAnsi" w:hAnsiTheme="minorHAnsi" w:cstheme="minorBidi"/>
                <w:sz w:val="22"/>
                <w:szCs w:val="22"/>
                <w:lang w:eastAsia="en-US"/>
              </w:rPr>
              <w:t> aux alternatives à l’information biaisée véhiculée par de nombreux grands médias.</w:t>
            </w:r>
          </w:p>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p>
        </w:tc>
        <w:tc>
          <w:tcPr>
            <w:tcW w:w="1983"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sidRPr="00414E98">
              <w:rPr>
                <w:rFonts w:asciiTheme="minorHAnsi" w:eastAsiaTheme="minorHAnsi" w:hAnsiTheme="minorHAnsi" w:cstheme="minorBidi"/>
                <w:sz w:val="22"/>
                <w:szCs w:val="22"/>
                <w:lang w:eastAsia="en-US"/>
              </w:rPr>
              <w:t xml:space="preserve">Groupe en charge des actions et réflexions pour </w:t>
            </w:r>
            <w:r>
              <w:rPr>
                <w:rFonts w:asciiTheme="minorHAnsi" w:eastAsiaTheme="minorHAnsi" w:hAnsiTheme="minorHAnsi" w:cstheme="minorBidi"/>
                <w:sz w:val="22"/>
                <w:szCs w:val="22"/>
                <w:lang w:eastAsia="en-US"/>
              </w:rPr>
              <w:t>penser</w:t>
            </w:r>
            <w:r w:rsidRPr="00414E98">
              <w:rPr>
                <w:rFonts w:asciiTheme="minorHAnsi" w:eastAsiaTheme="minorHAnsi" w:hAnsiTheme="minorHAnsi" w:cstheme="minorBidi"/>
                <w:sz w:val="22"/>
                <w:szCs w:val="22"/>
                <w:lang w:eastAsia="en-US"/>
              </w:rPr>
              <w:t xml:space="preserve"> les alternatives à l’austérité.</w:t>
            </w:r>
          </w:p>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p>
        </w:tc>
        <w:tc>
          <w:tcPr>
            <w:tcW w:w="1944"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sidRPr="00414E98">
              <w:rPr>
                <w:rFonts w:asciiTheme="minorHAnsi" w:eastAsiaTheme="minorHAnsi" w:hAnsiTheme="minorHAnsi" w:cstheme="minorBidi"/>
                <w:sz w:val="22"/>
                <w:szCs w:val="22"/>
                <w:lang w:eastAsia="en-US"/>
              </w:rPr>
              <w:t>Prévoir et assurer une solution confortable et solidaire pour la vieillesse et la fin de vie.</w:t>
            </w:r>
          </w:p>
        </w:tc>
        <w:tc>
          <w:tcPr>
            <w:tcW w:w="1801"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sidRPr="00414E98">
              <w:rPr>
                <w:rFonts w:asciiTheme="minorHAnsi" w:eastAsiaTheme="minorHAnsi" w:hAnsiTheme="minorHAnsi" w:cstheme="minorBidi"/>
                <w:sz w:val="22"/>
                <w:szCs w:val="22"/>
                <w:lang w:eastAsia="en-US"/>
              </w:rPr>
              <w:t xml:space="preserve">Groupe qui </w:t>
            </w:r>
            <w:r>
              <w:rPr>
                <w:rFonts w:asciiTheme="minorHAnsi" w:eastAsiaTheme="minorHAnsi" w:hAnsiTheme="minorHAnsi" w:cstheme="minorBidi"/>
                <w:sz w:val="22"/>
                <w:szCs w:val="22"/>
                <w:lang w:eastAsia="en-US"/>
              </w:rPr>
              <w:t xml:space="preserve">veut changer la SNCB pour </w:t>
            </w:r>
            <w:r w:rsidRPr="00414E98">
              <w:rPr>
                <w:rFonts w:asciiTheme="minorHAnsi" w:eastAsiaTheme="minorHAnsi" w:hAnsiTheme="minorHAnsi" w:cstheme="minorBidi"/>
                <w:sz w:val="22"/>
                <w:szCs w:val="22"/>
                <w:lang w:eastAsia="en-US"/>
              </w:rPr>
              <w:t>plus de trains, plus sûrs, ponctuels et moins chers.</w:t>
            </w:r>
          </w:p>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p>
        </w:tc>
        <w:tc>
          <w:tcPr>
            <w:tcW w:w="1801" w:type="dxa"/>
          </w:tcPr>
          <w:p w:rsidR="00414E98" w:rsidRPr="00414E98" w:rsidRDefault="00414E98" w:rsidP="00414E98">
            <w:pPr>
              <w:pStyle w:val="NormalWeb"/>
              <w:shd w:val="clear" w:color="auto" w:fill="FFFFFF"/>
              <w:tabs>
                <w:tab w:val="num" w:pos="720"/>
              </w:tabs>
              <w:spacing w:before="0" w:beforeAutospacing="0" w:after="160" w:afterAutospacing="0" w:line="259"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Réfléchit à comment renouveler la démocratie, dans la société comme dans Tout Autre Chose.</w:t>
            </w:r>
          </w:p>
        </w:tc>
      </w:tr>
    </w:tbl>
    <w:p w:rsidR="00414E98" w:rsidRPr="0030170A" w:rsidRDefault="00414E98" w:rsidP="0030170A">
      <w:r w:rsidRPr="0030170A">
        <w:t>Les groupes de travail sont le groupe finances (la trésorerie), le groupe stratégie (qui pense notre stratégie de moyen et long terme), le groupe communication (réseaux sociaux,…) et le groupe web (qui gère le site web).</w:t>
      </w:r>
    </w:p>
    <w:p w:rsidR="00437CAE" w:rsidRPr="00414E98" w:rsidRDefault="00414E98" w:rsidP="00414E98">
      <w:pPr>
        <w:ind w:firstLine="708"/>
        <w:rPr>
          <w:b/>
          <w:i/>
        </w:rPr>
      </w:pPr>
      <w:r w:rsidRPr="00414E98">
        <w:rPr>
          <w:b/>
          <w:i/>
        </w:rPr>
        <w:t>La coordination nationale</w:t>
      </w:r>
      <w:r>
        <w:rPr>
          <w:b/>
          <w:i/>
        </w:rPr>
        <w:t> :</w:t>
      </w:r>
    </w:p>
    <w:p w:rsidR="00414E98" w:rsidRDefault="00414E98" w:rsidP="00414E98">
      <w:r>
        <w:t xml:space="preserve">Tous les groupes et locales </w:t>
      </w:r>
      <w:r w:rsidR="0030170A">
        <w:t xml:space="preserve">et les associations membres </w:t>
      </w:r>
      <w:r>
        <w:t xml:space="preserve">envoient </w:t>
      </w:r>
      <w:r w:rsidR="0030170A">
        <w:t xml:space="preserve">un ou </w:t>
      </w:r>
      <w:r>
        <w:t xml:space="preserve">deux délégués au </w:t>
      </w:r>
      <w:r w:rsidRPr="0030170A">
        <w:rPr>
          <w:b/>
        </w:rPr>
        <w:t>comité de coordination</w:t>
      </w:r>
      <w:r>
        <w:t>. C’est l’organe phare de TAC, où se prennent les décision</w:t>
      </w:r>
      <w:r w:rsidR="0030170A">
        <w:t xml:space="preserve">s importantes et les nouvelles positions. Les réunions sont ouvertes à toutes, même si seuls les délégués votent. Il se réunit une fois par mois. C’est lui qui décide d’organiser des </w:t>
      </w:r>
      <w:r w:rsidR="0030170A" w:rsidRPr="0030170A">
        <w:rPr>
          <w:b/>
        </w:rPr>
        <w:t>assemblées citoyennes</w:t>
      </w:r>
      <w:r w:rsidR="0030170A">
        <w:t>, qui sont des moments où tout le mouvement se retrouve pour faire le point et débattre.</w:t>
      </w:r>
    </w:p>
    <w:p w:rsidR="0030170A" w:rsidRDefault="0030170A" w:rsidP="00414E98">
      <w:r>
        <w:t xml:space="preserve">Le </w:t>
      </w:r>
      <w:r w:rsidRPr="0030170A">
        <w:rPr>
          <w:b/>
        </w:rPr>
        <w:t>bureau</w:t>
      </w:r>
      <w:r>
        <w:t xml:space="preserve"> de Tout Autre Chose assure la gestion quotidienne, sert de personne de contact pour les associations et les groupes, et fait en sorte que l’information circule bien dans le mouvement. Il est composé de gens investis ailleurs dans TAC et est renouvelé tous les six mois. Et voilà</w:t>
      </w:r>
      <w:bookmarkStart w:id="0" w:name="_GoBack"/>
      <w:bookmarkEnd w:id="0"/>
      <w:r>
        <w:t>, vous connaissez maintenant tout du fonctionnement !</w:t>
      </w:r>
    </w:p>
    <w:sectPr w:rsidR="0030170A" w:rsidSect="00437CA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D04F8"/>
    <w:multiLevelType w:val="multilevel"/>
    <w:tmpl w:val="9A3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AE"/>
    <w:rsid w:val="000B1938"/>
    <w:rsid w:val="001F3CB5"/>
    <w:rsid w:val="0030170A"/>
    <w:rsid w:val="00414E98"/>
    <w:rsid w:val="00437CAE"/>
    <w:rsid w:val="004E58B9"/>
    <w:rsid w:val="00C816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60F7-017E-4ACF-9AF5-302A247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1F3CB5"/>
    <w:pPr>
      <w:spacing w:before="100" w:beforeAutospacing="1" w:after="100" w:afterAutospacing="1" w:line="240" w:lineRule="auto"/>
      <w:outlineLvl w:val="4"/>
    </w:pPr>
    <w:rPr>
      <w:rFonts w:ascii="Times New Roman" w:eastAsia="Times New Roman" w:hAnsi="Times New Roman" w:cs="Times New Roman"/>
      <w:b/>
      <w:bCs/>
      <w:sz w:val="20"/>
      <w:szCs w:val="20"/>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1F3CB5"/>
    <w:rPr>
      <w:rFonts w:ascii="Times New Roman" w:eastAsia="Times New Roman" w:hAnsi="Times New Roman" w:cs="Times New Roman"/>
      <w:b/>
      <w:bCs/>
      <w:sz w:val="20"/>
      <w:szCs w:val="20"/>
      <w:lang w:eastAsia="fr-BE"/>
    </w:rPr>
  </w:style>
  <w:style w:type="character" w:styleId="Accentuation">
    <w:name w:val="Emphasis"/>
    <w:basedOn w:val="Policepardfaut"/>
    <w:uiPriority w:val="20"/>
    <w:qFormat/>
    <w:rsid w:val="001F3CB5"/>
    <w:rPr>
      <w:i/>
      <w:iCs/>
    </w:rPr>
  </w:style>
  <w:style w:type="paragraph" w:styleId="NormalWeb">
    <w:name w:val="Normal (Web)"/>
    <w:basedOn w:val="Normal"/>
    <w:uiPriority w:val="99"/>
    <w:unhideWhenUsed/>
    <w:rsid w:val="001F3CB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Policepardfaut"/>
    <w:rsid w:val="001F3CB5"/>
  </w:style>
  <w:style w:type="character" w:styleId="Lienhypertexte">
    <w:name w:val="Hyperlink"/>
    <w:basedOn w:val="Policepardfaut"/>
    <w:uiPriority w:val="99"/>
    <w:semiHidden/>
    <w:unhideWhenUsed/>
    <w:rsid w:val="001F3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7676">
      <w:bodyDiv w:val="1"/>
      <w:marLeft w:val="0"/>
      <w:marRight w:val="0"/>
      <w:marTop w:val="0"/>
      <w:marBottom w:val="0"/>
      <w:divBdr>
        <w:top w:val="none" w:sz="0" w:space="0" w:color="auto"/>
        <w:left w:val="none" w:sz="0" w:space="0" w:color="auto"/>
        <w:bottom w:val="none" w:sz="0" w:space="0" w:color="auto"/>
        <w:right w:val="none" w:sz="0" w:space="0" w:color="auto"/>
      </w:divBdr>
    </w:div>
    <w:div w:id="561864516">
      <w:bodyDiv w:val="1"/>
      <w:marLeft w:val="0"/>
      <w:marRight w:val="0"/>
      <w:marTop w:val="0"/>
      <w:marBottom w:val="0"/>
      <w:divBdr>
        <w:top w:val="none" w:sz="0" w:space="0" w:color="auto"/>
        <w:left w:val="none" w:sz="0" w:space="0" w:color="auto"/>
        <w:bottom w:val="none" w:sz="0" w:space="0" w:color="auto"/>
        <w:right w:val="none" w:sz="0" w:space="0" w:color="auto"/>
      </w:divBdr>
    </w:div>
    <w:div w:id="778993563">
      <w:bodyDiv w:val="1"/>
      <w:marLeft w:val="0"/>
      <w:marRight w:val="0"/>
      <w:marTop w:val="0"/>
      <w:marBottom w:val="0"/>
      <w:divBdr>
        <w:top w:val="none" w:sz="0" w:space="0" w:color="auto"/>
        <w:left w:val="none" w:sz="0" w:space="0" w:color="auto"/>
        <w:bottom w:val="none" w:sz="0" w:space="0" w:color="auto"/>
        <w:right w:val="none" w:sz="0" w:space="0" w:color="auto"/>
      </w:divBdr>
    </w:div>
    <w:div w:id="1243180635">
      <w:bodyDiv w:val="1"/>
      <w:marLeft w:val="0"/>
      <w:marRight w:val="0"/>
      <w:marTop w:val="0"/>
      <w:marBottom w:val="0"/>
      <w:divBdr>
        <w:top w:val="none" w:sz="0" w:space="0" w:color="auto"/>
        <w:left w:val="none" w:sz="0" w:space="0" w:color="auto"/>
        <w:bottom w:val="none" w:sz="0" w:space="0" w:color="auto"/>
        <w:right w:val="none" w:sz="0" w:space="0" w:color="auto"/>
      </w:divBdr>
    </w:div>
    <w:div w:id="1564213649">
      <w:bodyDiv w:val="1"/>
      <w:marLeft w:val="0"/>
      <w:marRight w:val="0"/>
      <w:marTop w:val="0"/>
      <w:marBottom w:val="0"/>
      <w:divBdr>
        <w:top w:val="none" w:sz="0" w:space="0" w:color="auto"/>
        <w:left w:val="none" w:sz="0" w:space="0" w:color="auto"/>
        <w:bottom w:val="none" w:sz="0" w:space="0" w:color="auto"/>
        <w:right w:val="none" w:sz="0" w:space="0" w:color="auto"/>
      </w:divBdr>
    </w:div>
    <w:div w:id="17345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tautrechose.be/une-tout-autre-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utautrechose.be/eco-cest-logiq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utautrechose.be/travail-digne" TargetMode="External"/><Relationship Id="rId11" Type="http://schemas.openxmlformats.org/officeDocument/2006/relationships/hyperlink" Target="http://www.toutautrechose.be/pour-une-sncb-forte-accessible-et-de-qualite" TargetMode="External"/><Relationship Id="rId5" Type="http://schemas.openxmlformats.org/officeDocument/2006/relationships/hyperlink" Target="http://www.toutautrechose.be/une-tout-autre-ecole-parlons-en" TargetMode="External"/><Relationship Id="rId10" Type="http://schemas.openxmlformats.org/officeDocument/2006/relationships/hyperlink" Target="http://www.toutautrechose.be/une-tout-autre-action-sociale" TargetMode="External"/><Relationship Id="rId4" Type="http://schemas.openxmlformats.org/officeDocument/2006/relationships/webSettings" Target="webSettings.xml"/><Relationship Id="rId9" Type="http://schemas.openxmlformats.org/officeDocument/2006/relationships/hyperlink" Target="http://www.toutautrechose.be/un-tout-autre-modele-econom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584</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Malay</dc:creator>
  <cp:keywords/>
  <dc:description/>
  <cp:lastModifiedBy>Olivier Malay</cp:lastModifiedBy>
  <cp:revision>1</cp:revision>
  <dcterms:created xsi:type="dcterms:W3CDTF">2016-11-02T21:33:00Z</dcterms:created>
  <dcterms:modified xsi:type="dcterms:W3CDTF">2016-11-02T22:34:00Z</dcterms:modified>
</cp:coreProperties>
</file>