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spacing w:lineRule="auto" w:line="276" w:before="0" w:after="0"/>
        <w:ind w:left="-113" w:right="0" w:hanging="0"/>
        <w:rPr/>
      </w:pPr>
      <w:r>
        <w:rPr/>
        <w:t xml:space="preserve">Interpellation citoyenne au Conseil Communal de Saint-Gilles du </w:t>
      </w:r>
    </w:p>
    <w:p>
      <w:pPr>
        <w:pStyle w:val="Normal"/>
        <w:keepNext/>
        <w:spacing w:lineRule="auto" w:line="276" w:before="0" w:after="0"/>
        <w:ind w:left="-113" w:right="0" w:hanging="0"/>
        <w:rPr/>
      </w:pPr>
      <w:r>
        <w:rPr/>
        <w:t xml:space="preserve">Proposition de Jos – V. du 25/4/17 </w:t>
      </w:r>
    </w:p>
    <w:p>
      <w:pPr>
        <w:pStyle w:val="Normal"/>
        <w:keepNext/>
        <w:spacing w:lineRule="auto" w:line="276" w:before="0" w:after="0"/>
        <w:ind w:left="-113" w:right="0" w:hanging="0"/>
        <w:jc w:val="left"/>
        <w:rPr/>
      </w:pPr>
      <w:r>
        <w:rPr/>
        <w:t>[les notes entre crochets sont de nature informative et non destinées à être lues]</w:t>
      </w:r>
      <w:r>
        <w:rPr/>
        <w:t>_________</w:t>
      </w:r>
    </w:p>
    <w:p>
      <w:pPr>
        <w:pStyle w:val="Normal"/>
        <w:keepNext/>
        <w:spacing w:lineRule="auto" w:line="276" w:before="0" w:after="0"/>
        <w:ind w:left="-113" w:right="0" w:hanging="0"/>
        <w:rPr/>
      </w:pPr>
      <w:r>
        <w:rPr/>
      </w:r>
    </w:p>
    <w:p>
      <w:pPr>
        <w:pStyle w:val="Normal"/>
        <w:keepNext/>
        <w:spacing w:lineRule="auto" w:line="276" w:before="0" w:after="0"/>
        <w:ind w:left="-113" w:right="0" w:hanging="0"/>
        <w:rPr/>
      </w:pPr>
      <w:r>
        <w:rPr/>
      </w:r>
    </w:p>
    <w:p>
      <w:pPr>
        <w:pStyle w:val="Normal"/>
        <w:keepNext/>
        <w:spacing w:lineRule="auto" w:line="331" w:before="0" w:after="0"/>
        <w:ind w:left="-113" w:right="0" w:hanging="0"/>
        <w:rPr/>
      </w:pPr>
      <w:r>
        <w:rPr/>
        <w:t>M. le Bourgmestre, Mesdames et Messieurs les Échevins et Conseillers, Mesdames, Messieurs, bonjour.</w:t>
      </w:r>
    </w:p>
    <w:p>
      <w:pPr>
        <w:pStyle w:val="Normal"/>
        <w:keepNext/>
        <w:spacing w:lineRule="auto" w:line="331" w:before="0" w:after="0"/>
        <w:ind w:left="-113" w:right="0" w:hanging="0"/>
        <w:rPr/>
      </w:pPr>
      <w:r>
        <w:rPr/>
        <w:t>Je m’appelle X, je suis habitant de Saint Gilles et actif au sein de la locale saint-gilloise de Tout Autre Chose.</w:t>
      </w:r>
    </w:p>
    <w:p>
      <w:pPr>
        <w:pStyle w:val="Normal"/>
        <w:keepNext/>
        <w:spacing w:lineRule="auto" w:line="331" w:before="0" w:after="0"/>
        <w:ind w:left="-113" w:right="0" w:hanging="0"/>
        <w:rPr/>
      </w:pPr>
      <w:r>
        <w:rPr/>
        <w:t>Je prends ici la parole au nom de notre locale, des signataires de l’appel Tout Autre Chose et Hart Boven Hard.</w:t>
      </w:r>
    </w:p>
    <w:p>
      <w:pPr>
        <w:pStyle w:val="Normal"/>
        <w:keepNext/>
        <w:spacing w:lineRule="auto" w:line="331" w:before="0" w:after="0"/>
        <w:ind w:left="-113" w:right="0" w:hanging="0"/>
        <w:rPr/>
      </w:pPr>
      <w:r>
        <w:rPr/>
        <w:t>La</w:t>
      </w:r>
      <w:r>
        <w:rPr/>
        <w:t xml:space="preserve"> locale de </w:t>
      </w:r>
      <w:r>
        <w:rPr/>
        <w:t>S</w:t>
      </w:r>
      <w:r>
        <w:rPr/>
        <w:t>aint-Gilles de TAC se penche depuis plus d'une année sur la problématique de  la crise du logement à Bruxelles et qui est loin d'épargner notre commune.</w:t>
      </w:r>
    </w:p>
    <w:p>
      <w:pPr>
        <w:pStyle w:val="Normal"/>
        <w:keepNext/>
        <w:spacing w:lineRule="auto" w:line="331" w:before="0" w:after="0"/>
        <w:ind w:left="-113" w:right="0" w:hanging="0"/>
        <w:rPr/>
      </w:pPr>
      <w:r>
        <w:rPr/>
        <w:t xml:space="preserve">Nous </w:t>
      </w:r>
      <w:r>
        <w:rPr/>
        <w:t>nous faisons donc, ici, l’interprète de nombreux</w:t>
      </w:r>
      <w:r>
        <w:rPr/>
        <w:t xml:space="preserve"> citoyens saint-gillois </w:t>
      </w:r>
      <w:r>
        <w:rPr/>
        <w:t>rencontrés lors de</w:t>
      </w:r>
      <w:r>
        <w:rPr/>
        <w:t xml:space="preserve"> nos différentes actions et </w:t>
      </w:r>
      <w:r>
        <w:rPr/>
        <w:t>de leur réelle inquiétude quant à</w:t>
      </w:r>
      <w:r>
        <w:rPr/>
        <w:t xml:space="preserve"> l</w:t>
      </w:r>
      <w:r>
        <w:rPr/>
        <w:t>’</w:t>
      </w:r>
      <w:r>
        <w:rPr/>
        <w:t xml:space="preserve">accessibilité </w:t>
      </w:r>
      <w:r>
        <w:rPr/>
        <w:t>à un logement à loyer raisonnable, notamment quand des locataires sont confrontés à la vente de l’appartement ou de l’immeuble dans lequel ils vivent, parfois depuis des décennies, ou quand ils cherchent un logement dans notre commune.</w:t>
      </w:r>
      <w:r>
        <w:rPr/>
        <w:t xml:space="preserve"> </w:t>
      </w:r>
      <w:r>
        <w:rPr/>
        <w:t xml:space="preserve">Les constats que nous partageons avec </w:t>
      </w:r>
      <w:r>
        <w:rPr/>
        <w:t xml:space="preserve">des acteurs du monde associatif concernés par le logement (RBDH, CoDeS, Equipes populaires, Communa,…) </w:t>
      </w:r>
      <w:r>
        <w:rPr/>
        <w:t>sont simplement effrayants.</w:t>
      </w:r>
      <w:r>
        <w:rPr/>
        <w:t xml:space="preserve"> En effet, </w:t>
      </w:r>
      <w:r>
        <w:rPr/>
        <w:t xml:space="preserve">tandis que le nombre de logements sociaux dans notre Région stagne autour des 35000, nettement inférieur à d’autres grandes villes européennes, et que le nombre de personnes en attente d'un logement social avoisine également les 35000, </w:t>
      </w:r>
      <w:r>
        <w:rPr/>
        <w:t xml:space="preserve">il est estimé qu'il existe entre 15000 et 30000 logements vides en </w:t>
      </w:r>
      <w:r>
        <w:rPr/>
        <w:t>R</w:t>
      </w:r>
      <w:r>
        <w:rPr/>
        <w:t xml:space="preserve">égion bruxelloise. </w:t>
      </w:r>
      <w:r>
        <w:rPr/>
        <w:t>La situation n’est guère plus favorable dans notre commune. S</w:t>
      </w:r>
      <w:r>
        <w:rPr>
          <w:color w:val="01000A"/>
        </w:rPr>
        <w:t>elon l’Institut Bruxellois de Statistique et d’Analyse et l’Observatoire de la Santé et du Social de Bruxelles-Capitale, le par</w:t>
      </w:r>
      <w:r>
        <w:rPr>
          <w:color w:val="01000A"/>
        </w:rPr>
        <w:t>c</w:t>
      </w:r>
      <w:r>
        <w:rPr>
          <w:color w:val="01000A"/>
        </w:rPr>
        <w:t xml:space="preserve"> de logements sociaux entre entre 2005 et 2013, ne s’est </w:t>
      </w:r>
      <w:r>
        <w:rPr>
          <w:color w:val="01000A"/>
        </w:rPr>
        <w:t>agrandi</w:t>
      </w:r>
      <w:r>
        <w:rPr>
          <w:color w:val="01000A"/>
        </w:rPr>
        <w:t xml:space="preserve"> (création moins disparition), </w:t>
      </w:r>
      <w:r>
        <w:rPr>
          <w:color w:val="01000A"/>
        </w:rPr>
        <w:t>dans notre commune,</w:t>
      </w:r>
      <w:r>
        <w:rPr>
          <w:color w:val="01000A"/>
        </w:rPr>
        <w:t xml:space="preserve"> </w:t>
      </w:r>
      <w:r>
        <w:rPr>
          <w:color w:val="01000A"/>
        </w:rPr>
        <w:t>d’à peine</w:t>
      </w:r>
      <w:r>
        <w:rPr>
          <w:color w:val="01000A"/>
        </w:rPr>
        <w:t xml:space="preserve"> 15 logements sociaux. Il est vrai que la commune a mis tout son effort, au niveau du logement, dans le </w:t>
      </w:r>
      <w:r>
        <w:rPr>
          <w:color w:val="01000A"/>
        </w:rPr>
        <w:t>patrimoine de la Régie Foncière</w:t>
      </w:r>
      <w:r>
        <w:rPr>
          <w:color w:val="01000A"/>
        </w:rPr>
        <w:t>, bien sûr publi</w:t>
      </w:r>
      <w:r>
        <w:rPr>
          <w:color w:val="01000A"/>
        </w:rPr>
        <w:t>que</w:t>
      </w:r>
      <w:r>
        <w:rPr>
          <w:color w:val="01000A"/>
        </w:rPr>
        <w:t>, mais loin d’être accessible comme les logements sociaux, à une large majorité d’habitants historiques de Saint-Gilles. Dans une optique d’une meilleure équité, n</w:t>
      </w:r>
      <w:r>
        <w:rPr/>
        <w:t>ous nous sommes donc spécialement préoccupés de la problématique des logements vides dans notre commune.</w:t>
      </w:r>
    </w:p>
    <w:p>
      <w:pPr>
        <w:pStyle w:val="Normal"/>
        <w:keepNext/>
        <w:spacing w:lineRule="auto" w:line="331" w:before="0" w:after="0"/>
        <w:ind w:left="-113" w:right="0" w:hanging="0"/>
        <w:rPr/>
      </w:pPr>
      <w:r>
        <w:rPr/>
        <w:t xml:space="preserve">L’étude de la réalité saint-gilloise dans le domaine, nous a montré, à notre surprise, qu’après avoir ignoré cette problématique pendant des dizaines d’années – en 1999 le </w:t>
      </w:r>
      <w:r>
        <w:rPr>
          <w:i/>
          <w:iCs/>
        </w:rPr>
        <w:t xml:space="preserve">Dossier de base </w:t>
      </w:r>
      <w:r>
        <w:rPr>
          <w:i w:val="false"/>
          <w:iCs w:val="false"/>
        </w:rPr>
        <w:t xml:space="preserve">du Plan communal de Développement dénonçait déjà l’existence du problème – </w:t>
      </w:r>
      <w:r>
        <w:rPr>
          <w:i w:val="false"/>
          <w:iCs w:val="false"/>
        </w:rPr>
        <w:t xml:space="preserve">depuis 2012, la commune a effectivement pris le problème en considération, via la taxation des logements inoccupés, puisque en 2016, 336 dossiers ont été ouverts et ont conduits à une recette (prévue ? réalisée?) de près de 2 millions ! [1,890 millions]. Par ailleurs, selon les déclarations de M. Debouverie, la commune </w:t>
      </w:r>
      <w:r>
        <w:rPr>
          <w:i w:val="false"/>
          <w:iCs w:val="false"/>
        </w:rPr>
        <w:t>a</w:t>
      </w:r>
      <w:r>
        <w:rPr>
          <w:i w:val="false"/>
          <w:iCs w:val="false"/>
        </w:rPr>
        <w:t xml:space="preserve"> effectivement incité plus de 100 propriétaires, sous menace de taxation, à entamer des rénovations avec l’optique de mettre ces logements en location, ce dont nous nous réjouissons.</w:t>
      </w:r>
    </w:p>
    <w:p>
      <w:pPr>
        <w:pStyle w:val="Normal"/>
        <w:keepNext/>
        <w:spacing w:lineRule="auto" w:line="331" w:before="0" w:after="0"/>
        <w:ind w:left="-113" w:right="0" w:hanging="0"/>
        <w:rPr>
          <w:i w:val="false"/>
          <w:i w:val="false"/>
          <w:iCs w:val="false"/>
        </w:rPr>
      </w:pPr>
      <w:r>
        <w:rPr/>
      </w:r>
    </w:p>
    <w:p>
      <w:pPr>
        <w:pStyle w:val="Normal"/>
        <w:keepNext/>
        <w:spacing w:lineRule="auto" w:line="331" w:before="0" w:after="0"/>
        <w:ind w:left="-113" w:right="0" w:hanging="0"/>
        <w:rPr/>
      </w:pPr>
      <w:r>
        <w:rPr>
          <w:i w:val="false"/>
          <w:iCs w:val="false"/>
        </w:rPr>
        <w:t>Nous nous posons toutefois certaines questions interpellantes.</w:t>
      </w:r>
    </w:p>
    <w:p>
      <w:pPr>
        <w:pStyle w:val="Normal"/>
        <w:keepNext/>
        <w:ind w:left="-113" w:right="0" w:hanging="0"/>
        <w:rPr/>
      </w:pPr>
      <w:r>
        <w:rPr/>
        <w:t>Au niveau des logements sociaux (l’ex Foyer Saint-Gillois, regroupé aujourd’hui dans le Foyer du Sud), n</w:t>
      </w:r>
      <w:r>
        <w:rPr/>
        <w:t xml:space="preserve">on seulement la commune a un des taux les plus faibles de logements sociaux par rapport à la Région (moins de 5%), mais le nombre de logements inoccupés dépasse les 240 pour le Foyer du Sud dont plus de 150 hors rénovation, en proportion nettement plus élevée que la moyenne régionale </w:t>
      </w:r>
      <w:r>
        <w:rPr/>
        <w:t>[8,69 % contre 3,10 % pour la Région]</w:t>
      </w:r>
      <w:r>
        <w:rPr/>
        <w:t xml:space="preserve">. Il y a donc un décalage important apporté par la commune à l’extension de son parc de logements via la Régie Foncière, public bien sûr, mais inaccessible pour plus de la moitié des habitants saint-gillois, </w:t>
      </w:r>
      <w:r>
        <w:rPr/>
        <w:t>et son parc de logements sociaux</w:t>
      </w:r>
      <w:r>
        <w:rPr/>
        <w:t>.</w:t>
      </w:r>
    </w:p>
    <w:p>
      <w:pPr>
        <w:pStyle w:val="Normal"/>
        <w:keepNext/>
        <w:ind w:left="-113" w:right="0" w:hanging="0"/>
        <w:rPr/>
      </w:pPr>
      <w:r>
        <w:rPr/>
      </w:r>
    </w:p>
    <w:p>
      <w:pPr>
        <w:pStyle w:val="Normal"/>
        <w:keepNext/>
        <w:ind w:left="-113" w:right="0" w:hanging="0"/>
        <w:rPr/>
      </w:pPr>
      <w:r>
        <w:rPr/>
        <w:t>Devant ce constat, la commune ne devrait-elle pas aussi, et notamment vis-à-vis des propriétaires qui préfèrent payer des taxes, en espérant bénéficier ultérieurement de bénéfices plus importants grâce à la spéculation, utiliser des moyens plus contraignants telles que le droit de réquisition ou de gestion publique ?</w:t>
      </w:r>
    </w:p>
    <w:p>
      <w:pPr>
        <w:pStyle w:val="Normal"/>
        <w:keepNext/>
        <w:ind w:left="-113" w:right="0" w:hanging="0"/>
        <w:rPr/>
      </w:pPr>
      <w:r>
        <w:rPr/>
      </w:r>
    </w:p>
    <w:p>
      <w:pPr>
        <w:pStyle w:val="Normal"/>
        <w:keepNext/>
        <w:ind w:left="-113" w:right="0" w:hanging="0"/>
        <w:rPr/>
      </w:pPr>
      <w:r>
        <w:rPr/>
        <w:t xml:space="preserve">La commune ne pourrait-elle, à l’instar de sa voisine de Forest, à laquelle </w:t>
      </w:r>
      <w:r>
        <w:rPr/>
        <w:t>elle</w:t>
      </w:r>
      <w:r>
        <w:rPr/>
        <w:t xml:space="preserve"> est liée via le Foyer du Sud, permettre que des logements sociaux inoccupés soient octroyés provisoirement à des familles en recherche de logement, gratuitement (à l’exception des charges), moyennant éventuellement la participation à des travaux de remise en état. Il ne s’agit évidemment </w:t>
      </w:r>
      <w:r>
        <w:rPr/>
        <w:t xml:space="preserve">pas </w:t>
      </w:r>
      <w:r>
        <w:rPr/>
        <w:t>de créer un sous-sta</w:t>
      </w:r>
      <w:r>
        <w:rPr/>
        <w:t>t</w:t>
      </w:r>
      <w:r>
        <w:rPr/>
        <w:t>ut de locataires qui n’auraient pas le droit de vivre décemment, mais bien de lutter contre le développement, à Bruxelles, des Sans Domiciles Fixes.</w:t>
      </w:r>
    </w:p>
    <w:p>
      <w:pPr>
        <w:pStyle w:val="Normal"/>
        <w:keepNext/>
        <w:ind w:left="-113" w:right="0" w:hanging="0"/>
        <w:rPr/>
      </w:pPr>
      <w:r>
        <w:rPr/>
        <w:t>Enfin, la commune ne pourrait-elle affecter exclusivement le rapport de la taxe sur les logements inoccupés à la rénovation de logements sociaux inoccupés : on atteindrait simultanément 2 objectifs : augmenter le parc social habitable et réduire le nombre de logements vides. Une somme de 2 millions permet aisément la rénovation de 1500 m² de logement, soit une bonne vingtaine de logements. Nous croyons, par ce biais, tout simplement répondre aux objectifs fixés par un des partenaires de votre majorité, à savoir</w:t>
      </w:r>
      <w:r>
        <w:rPr/>
        <w:t xml:space="preserve"> imposer un pourcentage minimum des budgets à affecter à une politique de production de logements publics à vocation sociale, </w:t>
      </w:r>
      <w:r>
        <w:rPr/>
        <w:t>p</w:t>
      </w:r>
      <w:r>
        <w:rPr/>
        <w:t xml:space="preserve">our les communes dont la proportion de logements sociaux est inférieure à la moyenne régionale.  </w:t>
      </w:r>
      <w:r>
        <w:rPr/>
        <w:t>[</w:t>
      </w:r>
      <w:r>
        <w:rPr>
          <w:rStyle w:val="Accentuationforte"/>
        </w:rPr>
        <w:t xml:space="preserve">12 Mesures pour sortir de la crise du logement, </w:t>
      </w:r>
      <w:r>
        <w:rPr>
          <w:rStyle w:val="Accentuationforte"/>
        </w:rPr>
        <w:t xml:space="preserve">PS Région bruxelloise, </w:t>
      </w:r>
      <w:r>
        <w:rPr>
          <w:rStyle w:val="Accentuationforte"/>
        </w:rPr>
        <w:t>10/10/2016</w:t>
      </w:r>
      <w:r>
        <w:rPr>
          <w:rStyle w:val="Accentuationforte"/>
        </w:rPr>
        <w:t>]</w:t>
      </w:r>
    </w:p>
    <w:p>
      <w:pPr>
        <w:pStyle w:val="Normal"/>
        <w:keepNext/>
        <w:ind w:left="-113" w:right="0" w:hanging="0"/>
        <w:rPr/>
      </w:pPr>
      <w:r>
        <w:rPr>
          <w:rStyle w:val="Accentuationforte"/>
        </w:rPr>
        <w:t>]</w:t>
      </w:r>
    </w:p>
    <w:p>
      <w:pPr>
        <w:pStyle w:val="Normal"/>
        <w:keepNext/>
        <w:ind w:left="-113" w:right="0" w:hanging="0"/>
        <w:rPr/>
      </w:pPr>
      <w:r>
        <w:rPr/>
      </w:r>
    </w:p>
    <w:p>
      <w:pPr>
        <w:pStyle w:val="Normal"/>
        <w:keepNext/>
        <w:ind w:left="-113" w:right="0" w:hanging="0"/>
        <w:rPr/>
      </w:pPr>
      <w:r>
        <w:rPr/>
        <w:t xml:space="preserve">Nous ne pouvons pas clôturer notre interpellation, sans dénoncer une menace nouvelle, que le gouvernement </w:t>
      </w:r>
      <w:r>
        <w:rPr/>
        <w:t>fédéral a annoncé, à savoir pénaliser les occupants, dits illégaux, de logements vides. Nous espérons que la commune ne participera pas à cette exacerbation entre promoteurs spéculatifs et résistants, mais par contre qu’elle aura comme volonté de jouer les médiateurs, favorisant des solutions pacifiques tels que des contrats provisoires entre occupants et propriétaires.</w:t>
      </w:r>
    </w:p>
    <w:p>
      <w:pPr>
        <w:pStyle w:val="Normal"/>
        <w:keepNext/>
        <w:ind w:left="-113" w:right="0" w:hanging="0"/>
        <w:rPr/>
      </w:pPr>
      <w:r>
        <w:rPr/>
      </w:r>
    </w:p>
    <w:p>
      <w:pPr>
        <w:pStyle w:val="Normal"/>
        <w:keepNext/>
        <w:ind w:left="-113" w:right="0" w:hanging="0"/>
        <w:rPr/>
      </w:pPr>
      <w:r>
        <w:rPr/>
        <w:t>En vous remerciant pour votre écoute attentive, dans l’espoir de favoriser des solutions positives à la crise du logement ,notamment dans notre commune.</w:t>
      </w:r>
    </w:p>
    <w:p>
      <w:pPr>
        <w:pStyle w:val="Normal"/>
        <w:keepNext/>
        <w:spacing w:lineRule="auto" w:line="331" w:before="0" w:after="0"/>
        <w:ind w:left="-113" w:right="0" w:hanging="0"/>
        <w:rPr/>
      </w:pPr>
      <w:r>
        <w:rPr/>
      </w:r>
    </w:p>
    <w:p>
      <w:pPr>
        <w:pStyle w:val="Normal"/>
        <w:keepNext/>
        <w:keepLines w:val="false"/>
        <w:widowControl/>
        <w:bidi w:val="0"/>
        <w:spacing w:lineRule="auto" w:line="331" w:before="0" w:after="0"/>
        <w:ind w:left="0" w:right="0" w:hanging="0"/>
        <w:jc w:val="left"/>
        <w:rPr/>
      </w:pPr>
      <w:r>
        <w:rPr/>
      </w:r>
    </w:p>
    <w:p>
      <w:pPr>
        <w:pStyle w:val="Normal"/>
        <w:keepNext/>
        <w:spacing w:lineRule="auto" w:line="331" w:before="0" w:after="0"/>
        <w:ind w:left="-113" w:right="0" w:hanging="0"/>
        <w:rPr/>
      </w:pPr>
      <w:r>
        <w:rPr/>
      </w:r>
    </w:p>
    <w:p>
      <w:pPr>
        <w:pStyle w:val="Normal"/>
        <w:keepNext/>
        <w:spacing w:lineRule="auto" w:line="276" w:before="0" w:after="0"/>
        <w:ind w:left="-113" w:right="0" w:hanging="0"/>
        <w:rPr>
          <w:rStyle w:val="LienInternet"/>
          <w:color w:val="196AD4"/>
          <w:sz w:val="20"/>
          <w:szCs w:val="20"/>
          <w:highlight w:val="white"/>
          <w:u w:val="single"/>
        </w:rPr>
      </w:pPr>
      <w:hyperlink r:id="rId2">
        <w:r>
          <w:rPr/>
        </w:r>
      </w:hyperlink>
    </w:p>
    <w:p>
      <w:pPr>
        <w:pStyle w:val="Normal"/>
        <w:keepNext/>
        <w:spacing w:lineRule="auto" w:line="276" w:before="0" w:after="0"/>
        <w:ind w:left="-113" w:right="0" w:hanging="0"/>
        <w:rPr/>
      </w:pPr>
      <w:r>
        <w:rPr/>
      </w:r>
    </w:p>
    <w:sectPr>
      <w:footerReference w:type="default" r:id="rId3"/>
      <w:type w:val="nextPage"/>
      <w:pgSz w:w="11906" w:h="16838"/>
      <w:pgMar w:left="1440" w:right="1440" w:header="0" w:top="1440" w:footer="72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right"/>
      <w:rPr/>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88"/>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fr-BE" w:eastAsia="zh-CN" w:bidi="hi-IN"/>
      </w:rPr>
    </w:rPrDefault>
    <w:pPrDefault>
      <w:pPr/>
    </w:pPrDefault>
  </w:docDefaults>
  <w:style w:type="paragraph" w:styleId="Normal">
    <w:name w:val="Normal"/>
    <w:qFormat/>
    <w:pPr>
      <w:keepNext/>
      <w:keepLines w:val="false"/>
      <w:widowControl/>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fr-BE" w:eastAsia="zh-CN" w:bidi="hi-IN"/>
    </w:rPr>
  </w:style>
  <w:style w:type="paragraph" w:styleId="Titre1">
    <w:name w:val="Heading 1"/>
    <w:next w:val="Normal"/>
    <w:qFormat/>
    <w:pPr>
      <w:keepNext/>
      <w:keepLines/>
      <w:widowControl w:val="false"/>
      <w:spacing w:lineRule="auto" w:line="240" w:before="400" w:after="120"/>
      <w:contextualSpacing/>
    </w:pPr>
    <w:rPr>
      <w:rFonts w:ascii="Arial" w:hAnsi="Arial" w:eastAsia="Arial" w:cs="Arial"/>
      <w:color w:val="000000"/>
      <w:sz w:val="40"/>
      <w:szCs w:val="40"/>
      <w:lang w:val="fr-BE" w:eastAsia="zh-CN" w:bidi="hi-IN"/>
    </w:rPr>
  </w:style>
  <w:style w:type="paragraph" w:styleId="Titre2">
    <w:name w:val="Heading 2"/>
    <w:next w:val="Normal"/>
    <w:qFormat/>
    <w:pPr>
      <w:keepNext/>
      <w:keepLines/>
      <w:widowControl w:val="false"/>
      <w:spacing w:lineRule="auto" w:line="240" w:before="360" w:after="120"/>
      <w:contextualSpacing/>
    </w:pPr>
    <w:rPr>
      <w:rFonts w:ascii="Arial" w:hAnsi="Arial" w:eastAsia="Arial" w:cs="Arial"/>
      <w:b w:val="false"/>
      <w:color w:val="000000"/>
      <w:sz w:val="32"/>
      <w:szCs w:val="32"/>
      <w:lang w:val="fr-BE" w:eastAsia="zh-CN" w:bidi="hi-IN"/>
    </w:rPr>
  </w:style>
  <w:style w:type="paragraph" w:styleId="Titre3">
    <w:name w:val="Heading 3"/>
    <w:next w:val="Normal"/>
    <w:qFormat/>
    <w:pPr>
      <w:keepNext/>
      <w:keepLines/>
      <w:widowControl w:val="false"/>
      <w:spacing w:lineRule="auto" w:line="240" w:before="320" w:after="80"/>
      <w:contextualSpacing/>
    </w:pPr>
    <w:rPr>
      <w:rFonts w:ascii="Arial" w:hAnsi="Arial" w:eastAsia="Arial" w:cs="Arial"/>
      <w:b w:val="false"/>
      <w:color w:val="434343"/>
      <w:sz w:val="28"/>
      <w:szCs w:val="28"/>
      <w:lang w:val="fr-BE" w:eastAsia="zh-CN" w:bidi="hi-IN"/>
    </w:rPr>
  </w:style>
  <w:style w:type="paragraph" w:styleId="Titre4">
    <w:name w:val="Heading 4"/>
    <w:next w:val="Normal"/>
    <w:qFormat/>
    <w:pPr>
      <w:keepNext/>
      <w:keepLines/>
      <w:widowControl w:val="false"/>
      <w:spacing w:lineRule="auto" w:line="240" w:before="280" w:after="80"/>
      <w:contextualSpacing/>
    </w:pPr>
    <w:rPr>
      <w:rFonts w:ascii="Arial" w:hAnsi="Arial" w:eastAsia="Arial" w:cs="Arial"/>
      <w:color w:val="666666"/>
      <w:sz w:val="24"/>
      <w:szCs w:val="24"/>
      <w:lang w:val="fr-BE" w:eastAsia="zh-CN" w:bidi="hi-IN"/>
    </w:rPr>
  </w:style>
  <w:style w:type="paragraph" w:styleId="Titre5">
    <w:name w:val="Heading 5"/>
    <w:next w:val="Normal"/>
    <w:qFormat/>
    <w:pPr>
      <w:keepNext/>
      <w:keepLines/>
      <w:widowControl w:val="false"/>
      <w:spacing w:lineRule="auto" w:line="240" w:before="240" w:after="80"/>
      <w:contextualSpacing/>
    </w:pPr>
    <w:rPr>
      <w:rFonts w:ascii="Arial" w:hAnsi="Arial" w:eastAsia="Arial" w:cs="Arial"/>
      <w:color w:val="666666"/>
      <w:sz w:val="22"/>
      <w:szCs w:val="22"/>
      <w:lang w:val="fr-BE" w:eastAsia="zh-CN" w:bidi="hi-IN"/>
    </w:rPr>
  </w:style>
  <w:style w:type="paragraph" w:styleId="Titre6">
    <w:name w:val="Heading 6"/>
    <w:next w:val="Normal"/>
    <w:qFormat/>
    <w:pPr>
      <w:keepNext/>
      <w:keepLines/>
      <w:widowControl w:val="false"/>
      <w:spacing w:lineRule="auto" w:line="240" w:before="240" w:after="80"/>
      <w:contextualSpacing/>
    </w:pPr>
    <w:rPr>
      <w:rFonts w:ascii="Arial" w:hAnsi="Arial" w:eastAsia="Arial" w:cs="Arial"/>
      <w:i/>
      <w:color w:val="666666"/>
      <w:sz w:val="22"/>
      <w:szCs w:val="22"/>
      <w:lang w:val="fr-BE" w:eastAsia="zh-CN" w:bidi="hi-IN"/>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enInternet">
    <w:name w:val="Lien Internet"/>
    <w:rPr>
      <w:color w:val="000080"/>
      <w:u w:val="single"/>
      <w:lang w:val="zxx" w:eastAsia="zxx" w:bidi="zxx"/>
    </w:rPr>
  </w:style>
  <w:style w:type="character" w:styleId="ListLabel19">
    <w:name w:val="ListLabel 19"/>
    <w:qFormat/>
    <w:rPr>
      <w:rFonts w:cs="OpenSymbol"/>
      <w:u w:val="none"/>
    </w:rPr>
  </w:style>
  <w:style w:type="character" w:styleId="ListLabel20">
    <w:name w:val="ListLabel 20"/>
    <w:qFormat/>
    <w:rPr>
      <w:rFonts w:cs="OpenSymbol"/>
      <w:u w:val="none"/>
    </w:rPr>
  </w:style>
  <w:style w:type="character" w:styleId="ListLabel21">
    <w:name w:val="ListLabel 21"/>
    <w:qFormat/>
    <w:rPr>
      <w:rFonts w:cs="OpenSymbol"/>
      <w:u w:val="none"/>
    </w:rPr>
  </w:style>
  <w:style w:type="character" w:styleId="ListLabel22">
    <w:name w:val="ListLabel 22"/>
    <w:qFormat/>
    <w:rPr>
      <w:rFonts w:cs="OpenSymbol"/>
      <w:u w:val="none"/>
    </w:rPr>
  </w:style>
  <w:style w:type="character" w:styleId="ListLabel23">
    <w:name w:val="ListLabel 23"/>
    <w:qFormat/>
    <w:rPr>
      <w:rFonts w:cs="OpenSymbol"/>
      <w:u w:val="none"/>
    </w:rPr>
  </w:style>
  <w:style w:type="character" w:styleId="ListLabel24">
    <w:name w:val="ListLabel 24"/>
    <w:qFormat/>
    <w:rPr>
      <w:rFonts w:cs="OpenSymbol"/>
      <w:u w:val="none"/>
    </w:rPr>
  </w:style>
  <w:style w:type="character" w:styleId="ListLabel25">
    <w:name w:val="ListLabel 25"/>
    <w:qFormat/>
    <w:rPr>
      <w:rFonts w:cs="OpenSymbol"/>
      <w:u w:val="none"/>
    </w:rPr>
  </w:style>
  <w:style w:type="character" w:styleId="ListLabel26">
    <w:name w:val="ListLabel 26"/>
    <w:qFormat/>
    <w:rPr>
      <w:rFonts w:cs="OpenSymbol"/>
      <w:u w:val="none"/>
    </w:rPr>
  </w:style>
  <w:style w:type="character" w:styleId="ListLabel27">
    <w:name w:val="ListLabel 27"/>
    <w:qFormat/>
    <w:rPr>
      <w:rFonts w:cs="OpenSymbol"/>
      <w:u w:val="none"/>
    </w:rPr>
  </w:style>
  <w:style w:type="character" w:styleId="ListLabel28">
    <w:name w:val="ListLabel 28"/>
    <w:qFormat/>
    <w:rPr>
      <w:rFonts w:cs="Symbol"/>
      <w:u w:val="none"/>
    </w:rPr>
  </w:style>
  <w:style w:type="character" w:styleId="ListLabel29">
    <w:name w:val="ListLabel 29"/>
    <w:qFormat/>
    <w:rPr>
      <w:rFonts w:cs="Symbol"/>
      <w:u w:val="none"/>
    </w:rPr>
  </w:style>
  <w:style w:type="character" w:styleId="ListLabel30">
    <w:name w:val="ListLabel 30"/>
    <w:qFormat/>
    <w:rPr>
      <w:rFonts w:cs="Symbol"/>
      <w:u w:val="none"/>
    </w:rPr>
  </w:style>
  <w:style w:type="character" w:styleId="ListLabel31">
    <w:name w:val="ListLabel 31"/>
    <w:qFormat/>
    <w:rPr>
      <w:rFonts w:cs="Symbol"/>
      <w:u w:val="none"/>
    </w:rPr>
  </w:style>
  <w:style w:type="character" w:styleId="ListLabel32">
    <w:name w:val="ListLabel 32"/>
    <w:qFormat/>
    <w:rPr>
      <w:rFonts w:cs="Symbol"/>
      <w:u w:val="none"/>
    </w:rPr>
  </w:style>
  <w:style w:type="character" w:styleId="ListLabel33">
    <w:name w:val="ListLabel 33"/>
    <w:qFormat/>
    <w:rPr>
      <w:rFonts w:cs="Symbol"/>
      <w:u w:val="none"/>
    </w:rPr>
  </w:style>
  <w:style w:type="character" w:styleId="ListLabel34">
    <w:name w:val="ListLabel 34"/>
    <w:qFormat/>
    <w:rPr>
      <w:rFonts w:cs="Symbol"/>
      <w:u w:val="none"/>
    </w:rPr>
  </w:style>
  <w:style w:type="character" w:styleId="ListLabel35">
    <w:name w:val="ListLabel 35"/>
    <w:qFormat/>
    <w:rPr>
      <w:rFonts w:cs="Symbol"/>
      <w:u w:val="none"/>
    </w:rPr>
  </w:style>
  <w:style w:type="character" w:styleId="ListLabel36">
    <w:name w:val="ListLabel 36"/>
    <w:qFormat/>
    <w:rPr>
      <w:rFonts w:cs="Symbol"/>
      <w:u w:val="none"/>
    </w:rPr>
  </w:style>
  <w:style w:type="character" w:styleId="Accentuationforte">
    <w:name w:val="Accentuation forte"/>
    <w:qFormat/>
    <w:rPr>
      <w:b/>
      <w:bCs/>
    </w:rPr>
  </w:style>
  <w:style w:type="paragraph" w:styleId="Titre">
    <w:name w:val="Titre"/>
    <w:basedOn w:val="Normal"/>
    <w:next w:val="Corpsdetexte"/>
    <w:qFormat/>
    <w:pPr>
      <w:keepNext/>
      <w:spacing w:before="240" w:after="120"/>
    </w:pPr>
    <w:rPr>
      <w:rFonts w:ascii="Arial" w:hAnsi="Arial" w:eastAsia="WenQuanYi Micro Hei"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ascii="Arial" w:hAnsi="Arial" w:cs="Lohit Devanagari"/>
    </w:rPr>
  </w:style>
  <w:style w:type="paragraph" w:styleId="Lgende">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LOnormal" w:default="1">
    <w:name w:val="LO-normal"/>
    <w:qFormat/>
    <w:pPr>
      <w:widowControl/>
      <w:bidi w:val="0"/>
      <w:jc w:val="left"/>
    </w:pPr>
    <w:rPr>
      <w:rFonts w:ascii="Arial" w:hAnsi="Arial" w:eastAsia="Arial" w:cs="Arial"/>
      <w:b w:val="false"/>
      <w:i w:val="false"/>
      <w:caps w:val="false"/>
      <w:smallCaps w:val="false"/>
      <w:strike w:val="false"/>
      <w:dstrike w:val="false"/>
      <w:color w:val="000000"/>
      <w:position w:val="0"/>
      <w:sz w:val="22"/>
      <w:sz w:val="22"/>
      <w:szCs w:val="22"/>
      <w:u w:val="none"/>
      <w:vertAlign w:val="baseline"/>
      <w:lang w:val="fr-BE" w:eastAsia="zh-CN" w:bidi="hi-IN"/>
    </w:rPr>
  </w:style>
  <w:style w:type="paragraph" w:styleId="Titreprincipal">
    <w:name w:val="Title"/>
    <w:basedOn w:val="LOnormal"/>
    <w:next w:val="Normal"/>
    <w:qFormat/>
    <w:pPr>
      <w:keepNext/>
      <w:keepLines/>
      <w:spacing w:lineRule="auto" w:line="240" w:before="0" w:after="60"/>
      <w:contextualSpacing/>
    </w:pPr>
    <w:rPr>
      <w:sz w:val="52"/>
      <w:szCs w:val="52"/>
    </w:rPr>
  </w:style>
  <w:style w:type="paragraph" w:styleId="Soustitre">
    <w:name w:val="Subtitle"/>
    <w:basedOn w:val="LOnormal"/>
    <w:next w:val="Normal"/>
    <w:qFormat/>
    <w:pPr>
      <w:keepNext/>
      <w:keepLines/>
      <w:spacing w:lineRule="auto" w:line="240" w:before="0" w:after="320"/>
      <w:contextualSpacing/>
    </w:pPr>
    <w:rPr>
      <w:rFonts w:ascii="Arial" w:hAnsi="Arial" w:eastAsia="Arial" w:cs="Arial"/>
      <w:i w:val="false"/>
      <w:color w:val="666666"/>
      <w:sz w:val="30"/>
      <w:szCs w:val="30"/>
    </w:rPr>
  </w:style>
  <w:style w:type="paragraph" w:styleId="Pieddepage">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bservatbru.be/documents/graphics/fiches-communales/2016/saint-gilles_fr.pdf"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TotalTime>
  <Application>LibreOffice/5.1.6.2$Linux_x86 LibreOffice_project/10m0$Build-2</Application>
  <Pages>3</Pages>
  <Words>956</Words>
  <Characters>5192</Characters>
  <CharactersWithSpaces>6136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fr-BE</dc:language>
  <cp:lastModifiedBy/>
  <dcterms:modified xsi:type="dcterms:W3CDTF">2017-04-25T13:35:15Z</dcterms:modified>
  <cp:revision>9</cp:revision>
  <dc:subject/>
  <dc:title/>
</cp:coreProperties>
</file>