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1EAA" w:rsidRDefault="00220C12">
      <w:pPr>
        <w:spacing w:after="0" w:line="100" w:lineRule="atLeast"/>
        <w:jc w:val="right"/>
        <w:rPr>
          <w:rFonts w:ascii="Arial" w:hAnsi="Arial" w:cs="Arial"/>
          <w:sz w:val="20"/>
        </w:rPr>
      </w:pPr>
      <w:r>
        <w:rPr>
          <w:rFonts w:ascii="Arial" w:hAnsi="Arial" w:cs="Arial"/>
          <w:sz w:val="20"/>
        </w:rPr>
        <w:t>Annexe 2018</w:t>
      </w:r>
    </w:p>
    <w:p w:rsidR="00201EAA" w:rsidRDefault="00220C12">
      <w:pPr>
        <w:spacing w:after="0" w:line="100" w:lineRule="atLeast"/>
        <w:rPr>
          <w:rFonts w:ascii="Arial" w:hAnsi="Arial" w:cs="Arial"/>
          <w:sz w:val="20"/>
        </w:rPr>
      </w:pPr>
      <w:r>
        <w:rPr>
          <w:rFonts w:ascii="Arial" w:hAnsi="Arial" w:cs="Arial"/>
          <w:sz w:val="20"/>
        </w:rPr>
        <w:t xml:space="preserve">ROYAUME DE BELGIQUE </w:t>
      </w:r>
    </w:p>
    <w:p w:rsidR="00201EAA" w:rsidRDefault="00220C12">
      <w:pPr>
        <w:spacing w:after="0" w:line="100" w:lineRule="atLeast"/>
        <w:rPr>
          <w:rFonts w:ascii="Arial" w:hAnsi="Arial" w:cs="Arial"/>
          <w:sz w:val="20"/>
        </w:rPr>
      </w:pPr>
      <w:r>
        <w:rPr>
          <w:rFonts w:ascii="Arial" w:hAnsi="Arial" w:cs="Arial"/>
          <w:sz w:val="20"/>
        </w:rPr>
        <w:t xml:space="preserve">Arrondissement : </w:t>
      </w:r>
      <w:r>
        <w:rPr>
          <w:rFonts w:ascii="Arial" w:hAnsi="Arial" w:cs="Arial"/>
          <w:b/>
          <w:sz w:val="20"/>
        </w:rPr>
        <w:t>général</w:t>
      </w:r>
    </w:p>
    <w:p w:rsidR="00201EAA" w:rsidRDefault="00220C12">
      <w:pPr>
        <w:spacing w:after="0" w:line="100" w:lineRule="atLeast"/>
        <w:rPr>
          <w:rFonts w:ascii="Arial" w:hAnsi="Arial" w:cs="Arial"/>
          <w:sz w:val="20"/>
        </w:rPr>
      </w:pPr>
      <w:r>
        <w:rPr>
          <w:rFonts w:ascii="Arial" w:hAnsi="Arial" w:cs="Arial"/>
          <w:sz w:val="20"/>
        </w:rPr>
        <w:t xml:space="preserve">Commune : </w:t>
      </w:r>
      <w:r>
        <w:rPr>
          <w:rFonts w:ascii="Arial" w:hAnsi="Arial" w:cs="Arial"/>
          <w:b/>
          <w:sz w:val="20"/>
        </w:rPr>
        <w:t>libre</w:t>
      </w:r>
    </w:p>
    <w:p w:rsidR="00201EAA" w:rsidRDefault="00220C12">
      <w:pPr>
        <w:spacing w:after="0" w:line="100" w:lineRule="atLeast"/>
        <w:rPr>
          <w:rFonts w:ascii="Arial" w:hAnsi="Arial" w:cs="Arial"/>
          <w:sz w:val="20"/>
        </w:rPr>
      </w:pPr>
      <w:r>
        <w:rPr>
          <w:rFonts w:ascii="Arial" w:hAnsi="Arial" w:cs="Arial"/>
          <w:sz w:val="20"/>
        </w:rPr>
        <w:t xml:space="preserve">Réf. : </w:t>
      </w:r>
      <w:proofErr w:type="spellStart"/>
      <w:r>
        <w:rPr>
          <w:rFonts w:ascii="Arial" w:hAnsi="Arial" w:cs="Arial"/>
          <w:b/>
          <w:bCs/>
          <w:sz w:val="20"/>
        </w:rPr>
        <w:t>Francken</w:t>
      </w:r>
      <w:proofErr w:type="spellEnd"/>
      <w:r>
        <w:rPr>
          <w:rFonts w:ascii="Arial" w:hAnsi="Arial" w:cs="Arial"/>
          <w:b/>
          <w:bCs/>
          <w:sz w:val="20"/>
        </w:rPr>
        <w:t xml:space="preserve"> </w:t>
      </w:r>
      <w:proofErr w:type="spellStart"/>
      <w:r>
        <w:rPr>
          <w:rFonts w:ascii="Arial" w:hAnsi="Arial" w:cs="Arial"/>
          <w:b/>
          <w:bCs/>
          <w:sz w:val="20"/>
        </w:rPr>
        <w:t>Buiten</w:t>
      </w:r>
      <w:proofErr w:type="spellEnd"/>
      <w:r>
        <w:rPr>
          <w:rFonts w:ascii="Arial" w:hAnsi="Arial" w:cs="Arial"/>
          <w:b/>
          <w:bCs/>
          <w:sz w:val="20"/>
        </w:rPr>
        <w:t> !</w:t>
      </w:r>
    </w:p>
    <w:p w:rsidR="00201EAA" w:rsidRDefault="00201EAA">
      <w:pPr>
        <w:spacing w:after="0" w:line="100" w:lineRule="atLeast"/>
        <w:rPr>
          <w:rFonts w:ascii="Arial" w:hAnsi="Arial" w:cs="Arial"/>
          <w:sz w:val="20"/>
        </w:rPr>
      </w:pPr>
    </w:p>
    <w:p w:rsidR="00201EAA" w:rsidRDefault="00201EAA">
      <w:pPr>
        <w:spacing w:after="0" w:line="100" w:lineRule="atLeast"/>
        <w:rPr>
          <w:rFonts w:ascii="Arial" w:hAnsi="Arial" w:cs="Arial"/>
          <w:sz w:val="20"/>
        </w:rPr>
      </w:pPr>
    </w:p>
    <w:p w:rsidR="00201EAA" w:rsidRDefault="00201EAA">
      <w:pPr>
        <w:spacing w:after="0" w:line="100" w:lineRule="atLeast"/>
        <w:rPr>
          <w:rFonts w:ascii="Arial" w:hAnsi="Arial" w:cs="Arial"/>
          <w:sz w:val="20"/>
        </w:rPr>
      </w:pPr>
    </w:p>
    <w:p w:rsidR="00201EAA" w:rsidRDefault="00201EAA">
      <w:pPr>
        <w:spacing w:after="0" w:line="100" w:lineRule="atLeast"/>
        <w:rPr>
          <w:rFonts w:ascii="Arial" w:hAnsi="Arial" w:cs="Arial"/>
          <w:sz w:val="20"/>
        </w:rPr>
      </w:pPr>
    </w:p>
    <w:p w:rsidR="00201EAA" w:rsidRDefault="00220C12">
      <w:pPr>
        <w:spacing w:after="0" w:line="100" w:lineRule="atLeast"/>
        <w:jc w:val="center"/>
        <w:rPr>
          <w:rFonts w:ascii="Arial" w:hAnsi="Arial" w:cs="Arial"/>
          <w:sz w:val="20"/>
        </w:rPr>
      </w:pPr>
      <w:r>
        <w:rPr>
          <w:rFonts w:ascii="Arial" w:hAnsi="Arial" w:cs="Arial"/>
          <w:sz w:val="20"/>
        </w:rPr>
        <w:t>ORDRE DE QUITTER LE GOUVERNEMENT – Modèle A</w:t>
      </w:r>
    </w:p>
    <w:p w:rsidR="00201EAA" w:rsidRDefault="00201EAA">
      <w:pPr>
        <w:spacing w:after="0" w:line="100" w:lineRule="atLeast"/>
        <w:rPr>
          <w:rFonts w:ascii="Arial" w:hAnsi="Arial" w:cs="Arial"/>
          <w:sz w:val="20"/>
        </w:rPr>
      </w:pPr>
    </w:p>
    <w:p w:rsidR="00201EAA" w:rsidRDefault="00201EAA">
      <w:pPr>
        <w:spacing w:after="0" w:line="100" w:lineRule="atLeast"/>
        <w:rPr>
          <w:rFonts w:ascii="Arial" w:hAnsi="Arial" w:cs="Arial"/>
          <w:sz w:val="20"/>
        </w:rPr>
      </w:pPr>
    </w:p>
    <w:p w:rsidR="00201EAA" w:rsidRDefault="00201EAA">
      <w:pPr>
        <w:spacing w:after="0" w:line="100" w:lineRule="atLeast"/>
        <w:rPr>
          <w:rFonts w:ascii="Arial" w:hAnsi="Arial" w:cs="Arial"/>
          <w:sz w:val="20"/>
        </w:rPr>
      </w:pPr>
    </w:p>
    <w:p w:rsidR="00201EAA" w:rsidRPr="00B11442" w:rsidRDefault="00220C12">
      <w:pPr>
        <w:spacing w:after="0" w:line="100" w:lineRule="atLeast"/>
        <w:jc w:val="both"/>
        <w:rPr>
          <w:rFonts w:ascii="Arial" w:hAnsi="Arial" w:cs="Arial"/>
          <w:b/>
          <w:sz w:val="20"/>
        </w:rPr>
      </w:pPr>
      <w:r>
        <w:rPr>
          <w:rFonts w:ascii="Arial" w:hAnsi="Arial" w:cs="Arial"/>
          <w:sz w:val="20"/>
        </w:rPr>
        <w:t xml:space="preserve">En exécution du Ministère de </w:t>
      </w:r>
      <w:r>
        <w:rPr>
          <w:rFonts w:ascii="Arial" w:hAnsi="Arial" w:cs="Arial"/>
          <w:b/>
          <w:sz w:val="20"/>
        </w:rPr>
        <w:t>la société civile,</w:t>
      </w:r>
      <w:r>
        <w:rPr>
          <w:rFonts w:ascii="Arial" w:hAnsi="Arial" w:cs="Arial"/>
          <w:sz w:val="20"/>
        </w:rPr>
        <w:t xml:space="preserve">….. / </w:t>
      </w:r>
      <w:proofErr w:type="gramStart"/>
      <w:r>
        <w:rPr>
          <w:rFonts w:ascii="Arial" w:hAnsi="Arial" w:cs="Arial"/>
          <w:sz w:val="20"/>
        </w:rPr>
        <w:t>des</w:t>
      </w:r>
      <w:proofErr w:type="gramEnd"/>
      <w:r>
        <w:rPr>
          <w:rFonts w:ascii="Arial" w:hAnsi="Arial" w:cs="Arial"/>
          <w:sz w:val="20"/>
        </w:rPr>
        <w:t xml:space="preserve"> délégués </w:t>
      </w:r>
      <w:r>
        <w:rPr>
          <w:rFonts w:ascii="Arial" w:hAnsi="Arial" w:cs="Arial"/>
          <w:b/>
          <w:sz w:val="20"/>
        </w:rPr>
        <w:t>des droits humains</w:t>
      </w:r>
      <w:r>
        <w:rPr>
          <w:rFonts w:ascii="Arial" w:hAnsi="Arial" w:cs="Arial"/>
          <w:sz w:val="20"/>
        </w:rPr>
        <w:t>... (1) (2) il est enjoint au (à la) nommé(e)…</w:t>
      </w:r>
      <w:r>
        <w:rPr>
          <w:rFonts w:ascii="Arial" w:hAnsi="Arial" w:cs="Arial"/>
          <w:b/>
          <w:sz w:val="20"/>
        </w:rPr>
        <w:t xml:space="preserve">Théo </w:t>
      </w:r>
      <w:proofErr w:type="spellStart"/>
      <w:r>
        <w:rPr>
          <w:rFonts w:ascii="Arial" w:hAnsi="Arial" w:cs="Arial"/>
          <w:b/>
          <w:sz w:val="20"/>
        </w:rPr>
        <w:t>Francken</w:t>
      </w:r>
      <w:proofErr w:type="spellEnd"/>
      <w:r>
        <w:rPr>
          <w:rFonts w:ascii="Arial" w:hAnsi="Arial" w:cs="Arial"/>
          <w:sz w:val="20"/>
        </w:rPr>
        <w:t>...........né(e)à…</w:t>
      </w:r>
      <w:r>
        <w:rPr>
          <w:rFonts w:ascii="Arial" w:hAnsi="Arial" w:cs="Arial"/>
          <w:b/>
          <w:sz w:val="20"/>
        </w:rPr>
        <w:t>Lubbeek</w:t>
      </w:r>
      <w:r>
        <w:rPr>
          <w:rFonts w:ascii="Arial" w:hAnsi="Arial" w:cs="Arial"/>
          <w:sz w:val="20"/>
        </w:rPr>
        <w:t>…, le……</w:t>
      </w:r>
      <w:r>
        <w:rPr>
          <w:rFonts w:ascii="Arial" w:hAnsi="Arial" w:cs="Arial"/>
          <w:b/>
          <w:sz w:val="20"/>
        </w:rPr>
        <w:t>7 février 1977</w:t>
      </w:r>
      <w:proofErr w:type="gramStart"/>
      <w:r>
        <w:rPr>
          <w:rFonts w:ascii="Arial" w:hAnsi="Arial" w:cs="Arial"/>
          <w:sz w:val="20"/>
        </w:rPr>
        <w:t>…….,</w:t>
      </w:r>
      <w:proofErr w:type="gramEnd"/>
      <w:r>
        <w:rPr>
          <w:rFonts w:ascii="Arial" w:hAnsi="Arial" w:cs="Arial"/>
          <w:sz w:val="20"/>
        </w:rPr>
        <w:t xml:space="preserve"> de nationalité </w:t>
      </w:r>
      <w:r>
        <w:rPr>
          <w:rFonts w:ascii="Arial" w:hAnsi="Arial" w:cs="Arial"/>
          <w:b/>
          <w:sz w:val="20"/>
        </w:rPr>
        <w:t>flamande</w:t>
      </w:r>
      <w:r w:rsidR="00B11442">
        <w:rPr>
          <w:rFonts w:ascii="Arial" w:hAnsi="Arial" w:cs="Arial"/>
          <w:b/>
          <w:sz w:val="20"/>
        </w:rPr>
        <w:t xml:space="preserve"> (sic)</w:t>
      </w:r>
      <w:r>
        <w:rPr>
          <w:rFonts w:ascii="Arial" w:hAnsi="Arial" w:cs="Arial"/>
          <w:sz w:val="20"/>
        </w:rPr>
        <w:t>…………., de quitter, au plus tard le..</w:t>
      </w:r>
      <w:r>
        <w:rPr>
          <w:rFonts w:ascii="Arial" w:hAnsi="Arial" w:cs="Arial"/>
          <w:b/>
          <w:sz w:val="20"/>
        </w:rPr>
        <w:t>13 janvier 2018</w:t>
      </w:r>
      <w:proofErr w:type="gramStart"/>
      <w:r>
        <w:rPr>
          <w:rFonts w:ascii="Arial" w:hAnsi="Arial" w:cs="Arial"/>
          <w:sz w:val="20"/>
        </w:rPr>
        <w:t>....(</w:t>
      </w:r>
      <w:proofErr w:type="gramEnd"/>
      <w:r>
        <w:rPr>
          <w:rFonts w:ascii="Arial" w:hAnsi="Arial" w:cs="Arial"/>
          <w:sz w:val="20"/>
        </w:rPr>
        <w:t>indiquer la date) le gouvernement de la Belg</w:t>
      </w:r>
      <w:bookmarkStart w:id="0" w:name="_GoBack"/>
      <w:bookmarkEnd w:id="0"/>
      <w:r>
        <w:rPr>
          <w:rFonts w:ascii="Arial" w:hAnsi="Arial" w:cs="Arial"/>
          <w:sz w:val="20"/>
        </w:rPr>
        <w:t>ique, ainsi que les compétences d’ État suivantes : …</w:t>
      </w:r>
      <w:r>
        <w:rPr>
          <w:rFonts w:ascii="Arial" w:hAnsi="Arial" w:cs="Arial"/>
          <w:b/>
          <w:sz w:val="20"/>
        </w:rPr>
        <w:t>asile, migration, accueil, déontologie, justice, droits humain, intégration</w:t>
      </w:r>
      <w:r>
        <w:rPr>
          <w:rFonts w:ascii="Arial" w:hAnsi="Arial" w:cs="Arial"/>
          <w:sz w:val="20"/>
        </w:rPr>
        <w:t xml:space="preserve">… (3) sauf s'il (elle) possède les complicités requises pour les dévoyer au sein du </w:t>
      </w:r>
      <w:proofErr w:type="gramStart"/>
      <w:r>
        <w:rPr>
          <w:rFonts w:ascii="Arial" w:hAnsi="Arial" w:cs="Arial"/>
          <w:sz w:val="20"/>
        </w:rPr>
        <w:t>gouvernement .</w:t>
      </w:r>
      <w:proofErr w:type="gramEnd"/>
      <w:r>
        <w:rPr>
          <w:rFonts w:ascii="Arial" w:hAnsi="Arial" w:cs="Arial"/>
          <w:sz w:val="20"/>
        </w:rPr>
        <w:t xml:space="preserve"> </w:t>
      </w:r>
    </w:p>
    <w:p w:rsidR="00201EAA" w:rsidRDefault="00201EAA">
      <w:pPr>
        <w:spacing w:after="0" w:line="100" w:lineRule="atLeast"/>
        <w:jc w:val="both"/>
        <w:rPr>
          <w:rFonts w:ascii="Arial" w:hAnsi="Arial" w:cs="Arial"/>
          <w:sz w:val="20"/>
        </w:rPr>
      </w:pPr>
    </w:p>
    <w:p w:rsidR="00201EAA" w:rsidRDefault="00220C12">
      <w:pPr>
        <w:spacing w:after="0" w:line="100" w:lineRule="atLeast"/>
        <w:jc w:val="both"/>
        <w:rPr>
          <w:rFonts w:ascii="Arial" w:hAnsi="Arial" w:cs="Arial"/>
          <w:sz w:val="20"/>
        </w:rPr>
      </w:pPr>
      <w:r>
        <w:rPr>
          <w:rFonts w:ascii="Arial" w:hAnsi="Arial" w:cs="Arial"/>
          <w:sz w:val="20"/>
        </w:rPr>
        <w:t xml:space="preserve">MOTIF DE LA DECISION </w:t>
      </w:r>
      <w:proofErr w:type="gramStart"/>
      <w:r>
        <w:rPr>
          <w:rFonts w:ascii="Arial" w:hAnsi="Arial" w:cs="Arial"/>
          <w:sz w:val="20"/>
        </w:rPr>
        <w:t>: ..</w:t>
      </w:r>
      <w:proofErr w:type="gramEnd"/>
    </w:p>
    <w:p w:rsidR="00201EAA" w:rsidRDefault="00220C12">
      <w:pPr>
        <w:spacing w:after="0" w:line="100" w:lineRule="atLeast"/>
        <w:rPr>
          <w:rFonts w:ascii="Arial" w:hAnsi="Arial" w:cs="Arial"/>
          <w:sz w:val="20"/>
        </w:rPr>
      </w:pPr>
      <w:r>
        <w:rPr>
          <w:rFonts w:ascii="Arial" w:hAnsi="Arial" w:cs="Arial"/>
          <w:sz w:val="20"/>
        </w:rPr>
        <w:t>….</w:t>
      </w:r>
      <w:r>
        <w:rPr>
          <w:rFonts w:ascii="Arial" w:hAnsi="Arial" w:cs="Arial"/>
          <w:b/>
          <w:sz w:val="20"/>
        </w:rPr>
        <w:t xml:space="preserve">Non-respect de son mandat (accorder l’asile et la protection) et </w:t>
      </w:r>
      <w:r>
        <w:rPr>
          <w:rFonts w:ascii="Arial" w:hAnsi="Arial" w:cs="Arial"/>
          <w:sz w:val="20"/>
        </w:rPr>
        <w:t>…………………………………..</w:t>
      </w:r>
    </w:p>
    <w:p w:rsidR="00201EAA" w:rsidRDefault="00220C12">
      <w:pPr>
        <w:spacing w:after="0" w:line="100" w:lineRule="atLeast"/>
        <w:rPr>
          <w:rFonts w:ascii="Arial" w:hAnsi="Arial" w:cs="Arial"/>
          <w:sz w:val="20"/>
        </w:rPr>
      </w:pPr>
      <w:r>
        <w:rPr>
          <w:rFonts w:ascii="Arial" w:hAnsi="Arial" w:cs="Arial"/>
          <w:sz w:val="20"/>
        </w:rPr>
        <w:t>….</w:t>
      </w:r>
      <w:r>
        <w:rPr>
          <w:rFonts w:ascii="Arial" w:hAnsi="Arial" w:cs="Arial"/>
          <w:b/>
          <w:sz w:val="20"/>
        </w:rPr>
        <w:t>Non-respect des décisions de justice et de l’État de droit</w:t>
      </w:r>
      <w:r>
        <w:rPr>
          <w:rFonts w:ascii="Arial" w:hAnsi="Arial" w:cs="Arial"/>
          <w:sz w:val="20"/>
        </w:rPr>
        <w:t>……………………………………………</w:t>
      </w:r>
    </w:p>
    <w:p w:rsidR="00201EAA" w:rsidRDefault="00220C12">
      <w:pPr>
        <w:spacing w:after="0" w:line="100" w:lineRule="atLeast"/>
        <w:rPr>
          <w:rFonts w:ascii="Arial" w:hAnsi="Arial" w:cs="Arial"/>
          <w:sz w:val="20"/>
        </w:rPr>
      </w:pPr>
      <w:r>
        <w:rPr>
          <w:rFonts w:ascii="Arial" w:hAnsi="Arial" w:cs="Arial"/>
          <w:sz w:val="20"/>
        </w:rPr>
        <w:t>….</w:t>
      </w:r>
      <w:r>
        <w:rPr>
          <w:rFonts w:ascii="Arial" w:hAnsi="Arial" w:cs="Arial"/>
          <w:b/>
          <w:sz w:val="20"/>
        </w:rPr>
        <w:t xml:space="preserve">Violation de la constitution et des lois du peuple belge en renvoyant des migrants vers la </w:t>
      </w:r>
      <w:proofErr w:type="gramStart"/>
      <w:r>
        <w:rPr>
          <w:rFonts w:ascii="Arial" w:hAnsi="Arial" w:cs="Arial"/>
          <w:b/>
          <w:sz w:val="20"/>
        </w:rPr>
        <w:t>torture</w:t>
      </w:r>
      <w:proofErr w:type="gramEnd"/>
      <w:r>
        <w:rPr>
          <w:rFonts w:ascii="Arial" w:hAnsi="Arial" w:cs="Arial"/>
          <w:b/>
          <w:sz w:val="20"/>
        </w:rPr>
        <w:t xml:space="preserve"> et des traitements inhumains et dégradant</w:t>
      </w:r>
      <w:r>
        <w:rPr>
          <w:rFonts w:ascii="Arial" w:hAnsi="Arial" w:cs="Arial"/>
          <w:sz w:val="20"/>
        </w:rPr>
        <w:t>…………………………………………………..</w:t>
      </w:r>
    </w:p>
    <w:p w:rsidR="00201EAA" w:rsidRDefault="00220C12">
      <w:pPr>
        <w:spacing w:after="0" w:line="100" w:lineRule="atLeast"/>
        <w:rPr>
          <w:rFonts w:ascii="Arial" w:hAnsi="Arial" w:cs="Arial"/>
          <w:sz w:val="20"/>
        </w:rPr>
      </w:pPr>
      <w:r>
        <w:rPr>
          <w:rFonts w:ascii="Arial" w:hAnsi="Arial" w:cs="Arial"/>
          <w:sz w:val="20"/>
        </w:rPr>
        <w:t>….</w:t>
      </w:r>
      <w:r>
        <w:rPr>
          <w:rFonts w:ascii="Arial" w:hAnsi="Arial" w:cs="Arial"/>
          <w:b/>
          <w:sz w:val="20"/>
        </w:rPr>
        <w:t>Mensonge éhonté devant le Parlement et la société</w:t>
      </w:r>
      <w:r>
        <w:rPr>
          <w:rFonts w:ascii="Arial" w:hAnsi="Arial" w:cs="Arial"/>
          <w:sz w:val="20"/>
        </w:rPr>
        <w:t>…………………………………………………</w:t>
      </w:r>
    </w:p>
    <w:p w:rsidR="00201EAA" w:rsidRDefault="00220C12">
      <w:pPr>
        <w:spacing w:after="0" w:line="100" w:lineRule="atLeast"/>
        <w:rPr>
          <w:rFonts w:ascii="Arial" w:hAnsi="Arial" w:cs="Arial"/>
          <w:sz w:val="20"/>
        </w:rPr>
      </w:pPr>
      <w:r>
        <w:rPr>
          <w:rFonts w:ascii="Arial" w:hAnsi="Arial" w:cs="Arial"/>
          <w:sz w:val="20"/>
        </w:rPr>
        <w:t>….</w:t>
      </w:r>
      <w:r>
        <w:rPr>
          <w:rFonts w:ascii="Arial" w:hAnsi="Arial" w:cs="Arial"/>
          <w:b/>
          <w:sz w:val="20"/>
        </w:rPr>
        <w:t>Propos racistes</w:t>
      </w:r>
      <w:r>
        <w:rPr>
          <w:rFonts w:ascii="Arial" w:hAnsi="Arial" w:cs="Arial"/>
          <w:sz w:val="20"/>
        </w:rPr>
        <w:t>……………………………………………………………………………………………….</w:t>
      </w:r>
    </w:p>
    <w:p w:rsidR="00201EAA" w:rsidRDefault="00220C12">
      <w:pPr>
        <w:spacing w:after="0" w:line="100" w:lineRule="atLeast"/>
        <w:rPr>
          <w:rFonts w:ascii="Arial" w:hAnsi="Arial" w:cs="Arial"/>
          <w:sz w:val="20"/>
        </w:rPr>
      </w:pPr>
      <w:r>
        <w:rPr>
          <w:rFonts w:ascii="Arial" w:hAnsi="Arial" w:cs="Arial"/>
          <w:sz w:val="20"/>
        </w:rPr>
        <w:t>….</w:t>
      </w:r>
      <w:r>
        <w:rPr>
          <w:rFonts w:ascii="Arial" w:hAnsi="Arial" w:cs="Arial"/>
          <w:b/>
          <w:sz w:val="20"/>
        </w:rPr>
        <w:t>Accointances avec des anciens collaborateurs nazis</w:t>
      </w:r>
      <w:r>
        <w:rPr>
          <w:rFonts w:ascii="Arial" w:hAnsi="Arial" w:cs="Arial"/>
          <w:sz w:val="20"/>
        </w:rPr>
        <w:t>....................................................................</w:t>
      </w:r>
    </w:p>
    <w:p w:rsidR="00201EAA" w:rsidRDefault="00220C12">
      <w:pPr>
        <w:spacing w:after="0" w:line="100" w:lineRule="atLeast"/>
        <w:rPr>
          <w:rFonts w:ascii="Arial" w:hAnsi="Arial" w:cs="Arial"/>
          <w:sz w:val="20"/>
        </w:rPr>
      </w:pPr>
      <w:r>
        <w:rPr>
          <w:rFonts w:ascii="Arial" w:hAnsi="Arial" w:cs="Arial"/>
          <w:sz w:val="20"/>
        </w:rPr>
        <w:t>…</w:t>
      </w:r>
      <w:r>
        <w:rPr>
          <w:rFonts w:ascii="Arial" w:hAnsi="Arial" w:cs="Arial"/>
          <w:b/>
          <w:sz w:val="20"/>
        </w:rPr>
        <w:t xml:space="preserve"> Menace pour l’ordre public et la sécurité nationale</w:t>
      </w:r>
      <w:r>
        <w:rPr>
          <w:rFonts w:ascii="Arial" w:hAnsi="Arial" w:cs="Arial"/>
          <w:sz w:val="20"/>
        </w:rPr>
        <w:t>………………………………………………….</w:t>
      </w:r>
    </w:p>
    <w:p w:rsidR="00201EAA" w:rsidRDefault="00201EAA">
      <w:pPr>
        <w:spacing w:after="0" w:line="100" w:lineRule="atLeast"/>
        <w:jc w:val="both"/>
        <w:rPr>
          <w:rFonts w:ascii="Arial" w:hAnsi="Arial" w:cs="Arial"/>
          <w:sz w:val="20"/>
        </w:rPr>
      </w:pPr>
    </w:p>
    <w:p w:rsidR="00201EAA" w:rsidRDefault="00220C12">
      <w:pPr>
        <w:spacing w:after="0" w:line="100" w:lineRule="atLeast"/>
        <w:jc w:val="both"/>
        <w:rPr>
          <w:rFonts w:ascii="Arial" w:hAnsi="Arial" w:cs="Arial"/>
          <w:sz w:val="20"/>
        </w:rPr>
      </w:pPr>
      <w:proofErr w:type="spellStart"/>
      <w:r>
        <w:rPr>
          <w:rFonts w:ascii="Arial" w:hAnsi="Arial" w:cs="Arial"/>
          <w:sz w:val="20"/>
        </w:rPr>
        <w:t>A</w:t>
      </w:r>
      <w:proofErr w:type="spellEnd"/>
      <w:r>
        <w:rPr>
          <w:rFonts w:ascii="Arial" w:hAnsi="Arial" w:cs="Arial"/>
          <w:sz w:val="20"/>
        </w:rPr>
        <w:t xml:space="preserve"> défaut d'obtempérer à cet ordre, </w:t>
      </w:r>
      <w:proofErr w:type="gramStart"/>
      <w:r>
        <w:rPr>
          <w:rFonts w:ascii="Arial" w:hAnsi="Arial" w:cs="Arial"/>
          <w:sz w:val="20"/>
        </w:rPr>
        <w:t>le(</w:t>
      </w:r>
      <w:proofErr w:type="gramEnd"/>
      <w:r>
        <w:rPr>
          <w:rFonts w:ascii="Arial" w:hAnsi="Arial" w:cs="Arial"/>
          <w:sz w:val="20"/>
        </w:rPr>
        <w:t xml:space="preserve">la) prénommé(e) s'expose à des poursuites populaires sur la base de l'article 35 de la Déclaration des droits de l'homme et du citoyen de 1793: « Quand le gouvernement viole les droits du peuple, l’insurrection est, pour le peuple et pour chaque portion du peuple, le plus sacré des droits et le plus indispensable des devoirs ». </w:t>
      </w:r>
    </w:p>
    <w:p w:rsidR="00201EAA" w:rsidRDefault="00201EAA">
      <w:pPr>
        <w:spacing w:after="0" w:line="100" w:lineRule="atLeast"/>
        <w:jc w:val="both"/>
        <w:rPr>
          <w:rFonts w:ascii="Arial" w:hAnsi="Arial" w:cs="Arial"/>
          <w:sz w:val="20"/>
        </w:rPr>
      </w:pPr>
    </w:p>
    <w:p w:rsidR="00201EAA" w:rsidRDefault="00220C12">
      <w:pPr>
        <w:spacing w:after="0" w:line="100" w:lineRule="atLeast"/>
        <w:jc w:val="both"/>
        <w:rPr>
          <w:rFonts w:ascii="Arial" w:hAnsi="Arial" w:cs="Arial"/>
          <w:sz w:val="20"/>
        </w:rPr>
      </w:pPr>
      <w:r>
        <w:rPr>
          <w:rFonts w:ascii="Arial" w:hAnsi="Arial" w:cs="Arial"/>
          <w:sz w:val="20"/>
        </w:rPr>
        <w:t>Conformément à la détermination des citoyennes et des citoyens, la présente décision n’est susceptible d’aucun recours ni demande de suspension, excepté si l’intéressé et son gouvernement abrogent les articles suivant de la loi du 15 décembre 1980 sur l’accès, le séjour, l’établissement et l’éloignement des étrangers : article 3 (motifs de refus d’entrée sur le territoire), articles 7 et 8bis (délivrance d’ordre de quitter le territoire), article 30bis (prise de de données biométriques), articles 74/5 et 74/6 (détention en centre fermé), article 74/6 (arrestation des personnes en séjour irrégulier) et article 75 (pénalisation du séjour irrégulier).</w:t>
      </w:r>
    </w:p>
    <w:p w:rsidR="00201EAA" w:rsidRDefault="00201EAA">
      <w:pPr>
        <w:spacing w:after="0" w:line="100" w:lineRule="atLeast"/>
        <w:jc w:val="both"/>
        <w:rPr>
          <w:rFonts w:ascii="Arial" w:hAnsi="Arial" w:cs="Arial"/>
          <w:sz w:val="20"/>
        </w:rPr>
      </w:pPr>
    </w:p>
    <w:p w:rsidR="00201EAA" w:rsidRDefault="00220C12">
      <w:pPr>
        <w:spacing w:after="0" w:line="100" w:lineRule="atLeast"/>
        <w:jc w:val="both"/>
        <w:rPr>
          <w:rFonts w:ascii="Arial" w:hAnsi="Arial" w:cs="Arial"/>
          <w:sz w:val="20"/>
        </w:rPr>
      </w:pPr>
      <w:r>
        <w:rPr>
          <w:rFonts w:ascii="Arial" w:hAnsi="Arial" w:cs="Arial"/>
          <w:sz w:val="20"/>
        </w:rPr>
        <w:t xml:space="preserve">Le présent document ne constitue en aucune façon un titre de dignité ou un titre de démocratie. </w:t>
      </w:r>
    </w:p>
    <w:p w:rsidR="00201EAA" w:rsidRDefault="00201EAA">
      <w:pPr>
        <w:spacing w:after="0" w:line="100" w:lineRule="atLeast"/>
        <w:jc w:val="both"/>
        <w:rPr>
          <w:rFonts w:ascii="Arial" w:hAnsi="Arial" w:cs="Arial"/>
          <w:sz w:val="20"/>
        </w:rPr>
      </w:pPr>
    </w:p>
    <w:p w:rsidR="00201EAA" w:rsidRDefault="00220C12">
      <w:pPr>
        <w:spacing w:after="0" w:line="100" w:lineRule="atLeast"/>
        <w:ind w:left="4248"/>
        <w:jc w:val="both"/>
        <w:rPr>
          <w:rFonts w:ascii="Arial" w:hAnsi="Arial" w:cs="Arial"/>
          <w:sz w:val="20"/>
        </w:rPr>
      </w:pPr>
      <w:r>
        <w:rPr>
          <w:rFonts w:ascii="Arial" w:hAnsi="Arial" w:cs="Arial"/>
          <w:sz w:val="20"/>
        </w:rPr>
        <w:t>A…</w:t>
      </w:r>
      <w:r>
        <w:rPr>
          <w:rFonts w:ascii="Arial" w:hAnsi="Arial" w:cs="Arial"/>
          <w:b/>
          <w:sz w:val="20"/>
        </w:rPr>
        <w:t>Bruxelles</w:t>
      </w:r>
      <w:r>
        <w:rPr>
          <w:rFonts w:ascii="Arial" w:hAnsi="Arial" w:cs="Arial"/>
          <w:sz w:val="20"/>
        </w:rPr>
        <w:t>…….</w:t>
      </w:r>
      <w:proofErr w:type="gramStart"/>
      <w:r>
        <w:rPr>
          <w:rFonts w:ascii="Arial" w:hAnsi="Arial" w:cs="Arial"/>
          <w:sz w:val="20"/>
        </w:rPr>
        <w:t>,le</w:t>
      </w:r>
      <w:proofErr w:type="gramEnd"/>
      <w:r>
        <w:rPr>
          <w:rFonts w:ascii="Arial" w:hAnsi="Arial" w:cs="Arial"/>
          <w:sz w:val="20"/>
        </w:rPr>
        <w:t xml:space="preserve"> ..</w:t>
      </w:r>
      <w:r>
        <w:rPr>
          <w:rFonts w:ascii="Arial" w:hAnsi="Arial" w:cs="Arial"/>
          <w:b/>
          <w:sz w:val="20"/>
        </w:rPr>
        <w:t>30 décembre 2017</w:t>
      </w:r>
      <w:r>
        <w:rPr>
          <w:rFonts w:ascii="Arial" w:hAnsi="Arial" w:cs="Arial"/>
          <w:sz w:val="20"/>
        </w:rPr>
        <w:t xml:space="preserve">…… </w:t>
      </w:r>
    </w:p>
    <w:p w:rsidR="00201EAA" w:rsidRDefault="00220C12">
      <w:pPr>
        <w:spacing w:after="0" w:line="100" w:lineRule="atLeast"/>
        <w:ind w:left="4248"/>
        <w:jc w:val="both"/>
        <w:rPr>
          <w:rFonts w:ascii="Arial" w:hAnsi="Arial" w:cs="Arial"/>
          <w:sz w:val="20"/>
        </w:rPr>
      </w:pPr>
      <w:r>
        <w:rPr>
          <w:rFonts w:ascii="Arial" w:hAnsi="Arial" w:cs="Arial"/>
          <w:sz w:val="20"/>
        </w:rPr>
        <w:t>La …</w:t>
      </w:r>
      <w:r>
        <w:rPr>
          <w:rFonts w:ascii="Arial" w:hAnsi="Arial" w:cs="Arial"/>
          <w:b/>
          <w:sz w:val="20"/>
        </w:rPr>
        <w:t>société civile révoltée</w:t>
      </w:r>
      <w:r>
        <w:rPr>
          <w:rFonts w:ascii="Arial" w:hAnsi="Arial" w:cs="Arial"/>
          <w:sz w:val="20"/>
        </w:rPr>
        <w:t xml:space="preserve">……………. (4) </w:t>
      </w:r>
    </w:p>
    <w:p w:rsidR="00201EAA" w:rsidRDefault="00201EAA">
      <w:pPr>
        <w:spacing w:after="0" w:line="100" w:lineRule="atLeast"/>
        <w:ind w:left="4248"/>
        <w:jc w:val="both"/>
        <w:rPr>
          <w:rFonts w:ascii="Arial" w:hAnsi="Arial" w:cs="Arial"/>
          <w:sz w:val="20"/>
        </w:rPr>
      </w:pPr>
    </w:p>
    <w:p w:rsidR="00201EAA" w:rsidRDefault="00220C12">
      <w:pPr>
        <w:spacing w:after="0" w:line="100" w:lineRule="atLeast"/>
        <w:ind w:left="4248"/>
        <w:jc w:val="right"/>
      </w:pPr>
      <w:r>
        <w:rPr>
          <w:rFonts w:ascii="Arial" w:hAnsi="Arial" w:cs="Arial"/>
          <w:sz w:val="20"/>
        </w:rPr>
        <w:t xml:space="preserve">SCEAU </w:t>
      </w:r>
    </w:p>
    <w:p w:rsidR="00201EAA" w:rsidRDefault="00220C12">
      <w:pPr>
        <w:spacing w:after="0" w:line="100" w:lineRule="atLeast"/>
        <w:jc w:val="right"/>
        <w:rPr>
          <w:rFonts w:ascii="Arial" w:hAnsi="Arial" w:cs="Arial"/>
          <w:sz w:val="20"/>
        </w:rPr>
      </w:pPr>
      <w:r>
        <w:rPr>
          <w:noProof/>
          <w:lang w:eastAsia="fr-BE"/>
        </w:rPr>
        <w:drawing>
          <wp:anchor distT="0" distB="0" distL="0" distR="0" simplePos="0" relativeHeight="251657728" behindDoc="0" locked="0" layoutInCell="1" allowOverlap="1">
            <wp:simplePos x="0" y="0"/>
            <wp:positionH relativeFrom="column">
              <wp:posOffset>4461510</wp:posOffset>
            </wp:positionH>
            <wp:positionV relativeFrom="paragraph">
              <wp:posOffset>37465</wp:posOffset>
            </wp:positionV>
            <wp:extent cx="1255395" cy="836295"/>
            <wp:effectExtent l="0" t="0" r="0" b="0"/>
            <wp:wrapSquare wrapText="left"/>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5395" cy="836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01EAA" w:rsidRDefault="00201EAA">
      <w:pPr>
        <w:spacing w:after="0" w:line="100" w:lineRule="atLeast"/>
        <w:jc w:val="both"/>
        <w:rPr>
          <w:rFonts w:ascii="Arial" w:hAnsi="Arial" w:cs="Arial"/>
          <w:sz w:val="20"/>
        </w:rPr>
      </w:pPr>
    </w:p>
    <w:p w:rsidR="00201EAA" w:rsidRDefault="00201EAA">
      <w:pPr>
        <w:spacing w:after="0" w:line="100" w:lineRule="atLeast"/>
        <w:jc w:val="both"/>
        <w:rPr>
          <w:rFonts w:ascii="Arial" w:hAnsi="Arial" w:cs="Arial"/>
          <w:sz w:val="20"/>
        </w:rPr>
      </w:pPr>
    </w:p>
    <w:p w:rsidR="00201EAA" w:rsidRDefault="00220C12">
      <w:pPr>
        <w:spacing w:after="0" w:line="100" w:lineRule="atLeast"/>
        <w:jc w:val="both"/>
        <w:rPr>
          <w:rFonts w:ascii="Arial" w:hAnsi="Arial" w:cs="Arial"/>
          <w:sz w:val="20"/>
        </w:rPr>
      </w:pPr>
      <w:r>
        <w:rPr>
          <w:rFonts w:ascii="Arial" w:hAnsi="Arial" w:cs="Arial"/>
          <w:sz w:val="20"/>
        </w:rPr>
        <w:t xml:space="preserve">Je reconnais avoir reçu notification du présent ordre, </w:t>
      </w:r>
    </w:p>
    <w:p w:rsidR="00201EAA" w:rsidRDefault="00220C12">
      <w:pPr>
        <w:spacing w:after="0" w:line="100" w:lineRule="atLeast"/>
        <w:jc w:val="both"/>
        <w:rPr>
          <w:rFonts w:ascii="Arial" w:hAnsi="Arial" w:cs="Arial"/>
          <w:sz w:val="20"/>
        </w:rPr>
      </w:pPr>
      <w:r>
        <w:rPr>
          <w:rFonts w:ascii="Arial" w:hAnsi="Arial" w:cs="Arial"/>
          <w:sz w:val="20"/>
        </w:rPr>
        <w:t>Signature du ministre banni,</w:t>
      </w:r>
    </w:p>
    <w:p w:rsidR="00201EAA" w:rsidRDefault="00201EAA">
      <w:pPr>
        <w:pBdr>
          <w:bottom w:val="single" w:sz="4" w:space="1" w:color="000000"/>
        </w:pBdr>
        <w:spacing w:after="0" w:line="100" w:lineRule="atLeast"/>
        <w:jc w:val="both"/>
        <w:rPr>
          <w:rFonts w:ascii="Arial" w:hAnsi="Arial" w:cs="Arial"/>
          <w:sz w:val="20"/>
        </w:rPr>
      </w:pPr>
    </w:p>
    <w:p w:rsidR="00201EAA" w:rsidRDefault="00201EAA">
      <w:pPr>
        <w:pBdr>
          <w:bottom w:val="single" w:sz="4" w:space="1" w:color="000000"/>
        </w:pBdr>
        <w:spacing w:after="0" w:line="100" w:lineRule="atLeast"/>
        <w:jc w:val="both"/>
        <w:rPr>
          <w:rFonts w:ascii="Arial" w:hAnsi="Arial" w:cs="Arial"/>
          <w:sz w:val="20"/>
        </w:rPr>
      </w:pPr>
    </w:p>
    <w:p w:rsidR="00201EAA" w:rsidRDefault="00220C12">
      <w:pPr>
        <w:spacing w:after="0" w:line="100" w:lineRule="atLeast"/>
        <w:jc w:val="both"/>
        <w:rPr>
          <w:rFonts w:ascii="Arial" w:hAnsi="Arial" w:cs="Arial"/>
          <w:sz w:val="16"/>
        </w:rPr>
      </w:pPr>
      <w:r>
        <w:rPr>
          <w:rFonts w:ascii="Arial" w:hAnsi="Arial" w:cs="Arial"/>
          <w:sz w:val="16"/>
        </w:rPr>
        <w:t>(1) Indiquer la qualité de l’autorité qui a le pouvoir de faire respecter l’État de droit, la démocratie, la dignité humaine, la solidarité et les liberté de toutes et tous.</w:t>
      </w:r>
    </w:p>
    <w:p w:rsidR="00201EAA" w:rsidRDefault="00220C12">
      <w:pPr>
        <w:spacing w:after="0" w:line="100" w:lineRule="atLeast"/>
        <w:jc w:val="both"/>
        <w:rPr>
          <w:rFonts w:ascii="Arial" w:hAnsi="Arial" w:cs="Arial"/>
          <w:sz w:val="16"/>
        </w:rPr>
      </w:pPr>
      <w:r>
        <w:rPr>
          <w:rFonts w:ascii="Arial" w:hAnsi="Arial" w:cs="Arial"/>
          <w:sz w:val="16"/>
        </w:rPr>
        <w:t xml:space="preserve">(2) Biffer la mention inutile. </w:t>
      </w:r>
    </w:p>
    <w:p w:rsidR="00201EAA" w:rsidRDefault="00220C12">
      <w:pPr>
        <w:spacing w:after="0" w:line="100" w:lineRule="atLeast"/>
        <w:jc w:val="both"/>
        <w:rPr>
          <w:rFonts w:ascii="Arial" w:hAnsi="Arial" w:cs="Arial"/>
          <w:sz w:val="16"/>
        </w:rPr>
      </w:pPr>
      <w:r>
        <w:rPr>
          <w:rFonts w:ascii="Arial" w:hAnsi="Arial" w:cs="Arial"/>
          <w:sz w:val="16"/>
        </w:rPr>
        <w:t>(3) Il s'agit des autres compétences qui préoccupent la société civile en matière d’hospitalité et de droits des étrangers.</w:t>
      </w:r>
    </w:p>
    <w:p w:rsidR="00201EAA" w:rsidRDefault="00220C12">
      <w:pPr>
        <w:spacing w:after="0" w:line="100" w:lineRule="atLeast"/>
        <w:jc w:val="both"/>
      </w:pPr>
      <w:r>
        <w:rPr>
          <w:rFonts w:ascii="Arial" w:hAnsi="Arial" w:cs="Arial"/>
          <w:sz w:val="16"/>
        </w:rPr>
        <w:t>(4) Indiquer le nom et la qualité de l’autorité</w:t>
      </w:r>
    </w:p>
    <w:sectPr w:rsidR="00201EA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287" w:rsidRDefault="001E5287" w:rsidP="00220C12">
      <w:pPr>
        <w:spacing w:after="0" w:line="240" w:lineRule="auto"/>
      </w:pPr>
      <w:r>
        <w:separator/>
      </w:r>
    </w:p>
  </w:endnote>
  <w:endnote w:type="continuationSeparator" w:id="0">
    <w:p w:rsidR="001E5287" w:rsidRDefault="001E5287" w:rsidP="00220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4">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C12" w:rsidRDefault="00220C1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C12" w:rsidRDefault="00220C1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C12" w:rsidRDefault="00220C1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287" w:rsidRDefault="001E5287" w:rsidP="00220C12">
      <w:pPr>
        <w:spacing w:after="0" w:line="240" w:lineRule="auto"/>
      </w:pPr>
      <w:r>
        <w:separator/>
      </w:r>
    </w:p>
  </w:footnote>
  <w:footnote w:type="continuationSeparator" w:id="0">
    <w:p w:rsidR="001E5287" w:rsidRDefault="001E5287" w:rsidP="00220C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C12" w:rsidRDefault="00220C1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C12" w:rsidRDefault="00220C1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C12" w:rsidRDefault="00220C1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C12"/>
    <w:rsid w:val="001E5287"/>
    <w:rsid w:val="00201EAA"/>
    <w:rsid w:val="00220C12"/>
    <w:rsid w:val="00B114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7F8EB708-22B3-F34D-BA6A-195B83F5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6" w:lineRule="auto"/>
    </w:pPr>
    <w:rPr>
      <w:rFonts w:ascii="Calibri" w:eastAsia="SimSun" w:hAnsi="Calibri" w:cs="font44"/>
      <w:sz w:val="22"/>
      <w:szCs w:val="22"/>
      <w:lang w:val="fr-BE"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styleId="Lienhypertexte">
    <w:name w:val="Hyperlink"/>
    <w:basedOn w:val="Policepardfaut1"/>
    <w:rPr>
      <w:color w:val="0563C1"/>
      <w:u w:val="single"/>
    </w:rPr>
  </w:style>
  <w:style w:type="paragraph" w:customStyle="1" w:styleId="Titre1">
    <w:name w:val="Titre1"/>
    <w:basedOn w:val="Normal"/>
    <w:next w:val="Corpsdetexte"/>
    <w:pPr>
      <w:keepNext/>
      <w:spacing w:before="240" w:after="120"/>
    </w:pPr>
    <w:rPr>
      <w:rFonts w:ascii="Arial" w:eastAsia="Microsoft YaHei" w:hAnsi="Arial" w:cs="Lucida Sans"/>
      <w:sz w:val="28"/>
      <w:szCs w:val="28"/>
    </w:rPr>
  </w:style>
  <w:style w:type="paragraph" w:styleId="Corpsdetexte">
    <w:name w:val="Body Text"/>
    <w:basedOn w:val="Normal"/>
    <w:pPr>
      <w:spacing w:after="120"/>
    </w:pPr>
  </w:style>
  <w:style w:type="paragraph" w:styleId="Liste">
    <w:name w:val="List"/>
    <w:basedOn w:val="Corpsdetexte"/>
    <w:rPr>
      <w:rFonts w:cs="Lucida Sans"/>
    </w:rPr>
  </w:style>
  <w:style w:type="paragraph" w:customStyle="1" w:styleId="Lgende1">
    <w:name w:val="Légende1"/>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En-tte">
    <w:name w:val="header"/>
    <w:basedOn w:val="Normal"/>
    <w:link w:val="En-tteCar"/>
    <w:uiPriority w:val="99"/>
    <w:unhideWhenUsed/>
    <w:rsid w:val="00220C12"/>
    <w:pPr>
      <w:tabs>
        <w:tab w:val="center" w:pos="4536"/>
        <w:tab w:val="right" w:pos="9072"/>
      </w:tabs>
    </w:pPr>
  </w:style>
  <w:style w:type="character" w:customStyle="1" w:styleId="En-tteCar">
    <w:name w:val="En-tête Car"/>
    <w:basedOn w:val="Policepardfaut"/>
    <w:link w:val="En-tte"/>
    <w:uiPriority w:val="99"/>
    <w:rsid w:val="00220C12"/>
    <w:rPr>
      <w:rFonts w:ascii="Calibri" w:eastAsia="SimSun" w:hAnsi="Calibri" w:cs="font44"/>
      <w:sz w:val="22"/>
      <w:szCs w:val="22"/>
      <w:lang w:val="fr-BE" w:eastAsia="ar-SA"/>
    </w:rPr>
  </w:style>
  <w:style w:type="paragraph" w:styleId="Pieddepage">
    <w:name w:val="footer"/>
    <w:basedOn w:val="Normal"/>
    <w:link w:val="PieddepageCar"/>
    <w:uiPriority w:val="99"/>
    <w:unhideWhenUsed/>
    <w:rsid w:val="00220C12"/>
    <w:pPr>
      <w:tabs>
        <w:tab w:val="center" w:pos="4536"/>
        <w:tab w:val="right" w:pos="9072"/>
      </w:tabs>
    </w:pPr>
  </w:style>
  <w:style w:type="character" w:customStyle="1" w:styleId="PieddepageCar">
    <w:name w:val="Pied de page Car"/>
    <w:basedOn w:val="Policepardfaut"/>
    <w:link w:val="Pieddepage"/>
    <w:uiPriority w:val="99"/>
    <w:rsid w:val="00220C12"/>
    <w:rPr>
      <w:rFonts w:ascii="Calibri" w:eastAsia="SimSun" w:hAnsi="Calibri" w:cs="font44"/>
      <w:sz w:val="22"/>
      <w:szCs w:val="22"/>
      <w:lang w:val="fr-B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3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2587</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Bietlot</dc:creator>
  <cp:keywords/>
  <cp:lastModifiedBy>Mathieu Bietlot</cp:lastModifiedBy>
  <cp:revision>3</cp:revision>
  <cp:lastPrinted>1899-12-31T23:00:00Z</cp:lastPrinted>
  <dcterms:created xsi:type="dcterms:W3CDTF">2017-12-29T17:51:00Z</dcterms:created>
  <dcterms:modified xsi:type="dcterms:W3CDTF">2018-01-07T21:19:00Z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